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7938"/>
        <w:gridCol w:w="1276"/>
      </w:tblGrid>
      <w:tr w:rsidR="0076713B" w:rsidRPr="00A955E0" w14:paraId="4345B1BE" w14:textId="77777777" w:rsidTr="003D68F2">
        <w:tc>
          <w:tcPr>
            <w:tcW w:w="675" w:type="dxa"/>
            <w:shd w:val="clear" w:color="auto" w:fill="9BBB59"/>
            <w:vAlign w:val="center"/>
          </w:tcPr>
          <w:p w14:paraId="1A8CD8D1" w14:textId="77777777" w:rsidR="0076713B" w:rsidRPr="00A955E0" w:rsidRDefault="0076713B" w:rsidP="00867B99">
            <w:pPr>
              <w:rPr>
                <w:b/>
                <w:lang w:val="ro-RO"/>
              </w:rPr>
            </w:pPr>
            <w:r w:rsidRPr="00A955E0">
              <w:rPr>
                <w:b/>
                <w:lang w:val="ro-RO"/>
              </w:rPr>
              <w:t>Nr. crt.</w:t>
            </w:r>
          </w:p>
        </w:tc>
        <w:tc>
          <w:tcPr>
            <w:tcW w:w="7938" w:type="dxa"/>
            <w:shd w:val="clear" w:color="auto" w:fill="9BBB59"/>
            <w:vAlign w:val="center"/>
          </w:tcPr>
          <w:p w14:paraId="286694B5" w14:textId="77777777" w:rsidR="0076713B" w:rsidRPr="00A955E0" w:rsidRDefault="0076713B" w:rsidP="00867B99">
            <w:pPr>
              <w:jc w:val="center"/>
              <w:rPr>
                <w:b/>
                <w:lang w:val="ro-RO"/>
              </w:rPr>
            </w:pPr>
            <w:r w:rsidRPr="00A955E0">
              <w:rPr>
                <w:b/>
                <w:lang w:val="ro-RO"/>
              </w:rPr>
              <w:t>Principii şi criterii de selecție</w:t>
            </w:r>
          </w:p>
        </w:tc>
        <w:tc>
          <w:tcPr>
            <w:tcW w:w="1276" w:type="dxa"/>
            <w:shd w:val="clear" w:color="auto" w:fill="9BBB59"/>
            <w:vAlign w:val="center"/>
          </w:tcPr>
          <w:p w14:paraId="0263A1E0" w14:textId="77777777" w:rsidR="0076713B" w:rsidRPr="00A955E0" w:rsidRDefault="0076713B" w:rsidP="00867B99">
            <w:pPr>
              <w:rPr>
                <w:b/>
                <w:lang w:val="ro-RO"/>
              </w:rPr>
            </w:pPr>
            <w:r w:rsidRPr="00A955E0">
              <w:rPr>
                <w:b/>
                <w:lang w:val="ro-RO"/>
              </w:rPr>
              <w:t>Punctaj</w:t>
            </w:r>
          </w:p>
        </w:tc>
      </w:tr>
      <w:tr w:rsidR="0076713B" w:rsidRPr="00A955E0" w14:paraId="62E263C6" w14:textId="77777777" w:rsidTr="003D68F2">
        <w:trPr>
          <w:trHeight w:val="545"/>
        </w:trPr>
        <w:tc>
          <w:tcPr>
            <w:tcW w:w="675" w:type="dxa"/>
            <w:vMerge w:val="restart"/>
            <w:shd w:val="clear" w:color="auto" w:fill="auto"/>
          </w:tcPr>
          <w:p w14:paraId="63C095AC" w14:textId="3131C6DA" w:rsidR="0076713B" w:rsidRPr="00A955E0" w:rsidRDefault="00513657" w:rsidP="00867B99">
            <w:pPr>
              <w:rPr>
                <w:b/>
                <w:lang w:val="ro-RO"/>
              </w:rPr>
            </w:pPr>
            <w:r>
              <w:rPr>
                <w:b/>
                <w:lang w:val="ro-RO"/>
              </w:rPr>
              <w:t>P</w:t>
            </w:r>
            <w:r w:rsidR="0076713B" w:rsidRPr="00A955E0">
              <w:rPr>
                <w:b/>
                <w:lang w:val="ro-RO"/>
              </w:rPr>
              <w:t>1.</w:t>
            </w:r>
          </w:p>
        </w:tc>
        <w:tc>
          <w:tcPr>
            <w:tcW w:w="7938" w:type="dxa"/>
            <w:shd w:val="clear" w:color="auto" w:fill="FABF8F"/>
            <w:vAlign w:val="center"/>
          </w:tcPr>
          <w:p w14:paraId="6E3ADB8C" w14:textId="77777777" w:rsidR="0076713B" w:rsidRPr="00A955E0" w:rsidRDefault="0076713B" w:rsidP="00867B99">
            <w:pPr>
              <w:rPr>
                <w:b/>
                <w:lang w:val="ro-RO"/>
              </w:rPr>
            </w:pPr>
            <w:r w:rsidRPr="00A955E0">
              <w:rPr>
                <w:b/>
                <w:lang w:val="ro-RO"/>
              </w:rPr>
              <w:t>Principiul cooperării (grupurile de producători care fac parte dintr-un grup operațional în cadrul PEI)</w:t>
            </w:r>
          </w:p>
        </w:tc>
        <w:tc>
          <w:tcPr>
            <w:tcW w:w="1276" w:type="dxa"/>
            <w:shd w:val="clear" w:color="auto" w:fill="FABF8F"/>
            <w:vAlign w:val="center"/>
          </w:tcPr>
          <w:p w14:paraId="6305718F" w14:textId="77777777" w:rsidR="0076713B" w:rsidRPr="00A955E0" w:rsidRDefault="0076713B" w:rsidP="00867B99">
            <w:pPr>
              <w:rPr>
                <w:b/>
                <w:lang w:val="ro-RO"/>
              </w:rPr>
            </w:pPr>
            <w:r w:rsidRPr="00A955E0">
              <w:rPr>
                <w:b/>
                <w:lang w:val="ro-RO"/>
              </w:rPr>
              <w:t>Max. 10p</w:t>
            </w:r>
          </w:p>
        </w:tc>
      </w:tr>
      <w:tr w:rsidR="0076713B" w:rsidRPr="00A955E0" w14:paraId="07210F6A" w14:textId="77777777" w:rsidTr="003D68F2">
        <w:trPr>
          <w:trHeight w:val="1162"/>
        </w:trPr>
        <w:tc>
          <w:tcPr>
            <w:tcW w:w="675" w:type="dxa"/>
            <w:vMerge/>
            <w:shd w:val="clear" w:color="auto" w:fill="auto"/>
          </w:tcPr>
          <w:p w14:paraId="221A8131" w14:textId="77777777" w:rsidR="0076713B" w:rsidRPr="00A955E0" w:rsidRDefault="0076713B" w:rsidP="00867B99">
            <w:pPr>
              <w:rPr>
                <w:b/>
                <w:lang w:val="ro-RO"/>
              </w:rPr>
            </w:pPr>
          </w:p>
        </w:tc>
        <w:tc>
          <w:tcPr>
            <w:tcW w:w="7938" w:type="dxa"/>
            <w:shd w:val="clear" w:color="auto" w:fill="auto"/>
            <w:vAlign w:val="center"/>
          </w:tcPr>
          <w:p w14:paraId="6DDAFB9B" w14:textId="77777777" w:rsidR="0076713B" w:rsidRPr="00A955E0" w:rsidRDefault="0076713B" w:rsidP="00867B99">
            <w:pPr>
              <w:rPr>
                <w:b/>
                <w:lang w:val="ro-RO"/>
              </w:rPr>
            </w:pPr>
            <w:r w:rsidRPr="00A955E0">
              <w:rPr>
                <w:b/>
                <w:lang w:val="ro-RO"/>
              </w:rPr>
              <w:t>1.1.</w:t>
            </w:r>
            <w:r w:rsidRPr="00A955E0">
              <w:rPr>
                <w:lang w:val="ro-RO"/>
              </w:rPr>
              <w:t xml:space="preserve"> Grupul de producători face parte dintr-un parteneriat constituit în vederea înfiinţării unui grup operaţional PEI sau dintr-un grup operaţional, la momentul depunerii cererii de finanțare, după cum urmează:</w:t>
            </w:r>
          </w:p>
        </w:tc>
        <w:tc>
          <w:tcPr>
            <w:tcW w:w="1276" w:type="dxa"/>
            <w:shd w:val="clear" w:color="auto" w:fill="auto"/>
            <w:vAlign w:val="center"/>
          </w:tcPr>
          <w:p w14:paraId="04F35C1A" w14:textId="77777777" w:rsidR="0076713B" w:rsidRPr="00A955E0" w:rsidRDefault="0076713B" w:rsidP="00867B99">
            <w:pPr>
              <w:rPr>
                <w:b/>
                <w:lang w:val="ro-RO"/>
              </w:rPr>
            </w:pPr>
            <w:r w:rsidRPr="00A955E0">
              <w:rPr>
                <w:b/>
                <w:lang w:val="ro-RO"/>
              </w:rPr>
              <w:t>Max. 10p</w:t>
            </w:r>
          </w:p>
        </w:tc>
      </w:tr>
      <w:tr w:rsidR="0076713B" w:rsidRPr="00A955E0" w14:paraId="0EBA0F08" w14:textId="77777777" w:rsidTr="003D68F2">
        <w:trPr>
          <w:trHeight w:val="461"/>
        </w:trPr>
        <w:tc>
          <w:tcPr>
            <w:tcW w:w="675" w:type="dxa"/>
            <w:vMerge/>
            <w:shd w:val="clear" w:color="auto" w:fill="auto"/>
          </w:tcPr>
          <w:p w14:paraId="1A59114E" w14:textId="77777777" w:rsidR="0076713B" w:rsidRPr="00A955E0" w:rsidRDefault="0076713B" w:rsidP="00867B99">
            <w:pPr>
              <w:rPr>
                <w:lang w:val="ro-RO"/>
              </w:rPr>
            </w:pPr>
          </w:p>
        </w:tc>
        <w:tc>
          <w:tcPr>
            <w:tcW w:w="7938" w:type="dxa"/>
            <w:shd w:val="clear" w:color="auto" w:fill="auto"/>
            <w:vAlign w:val="center"/>
          </w:tcPr>
          <w:p w14:paraId="65F98EDD" w14:textId="70520E0B" w:rsidR="0076713B" w:rsidRPr="00A955E0" w:rsidRDefault="0076713B" w:rsidP="00867B99">
            <w:pPr>
              <w:rPr>
                <w:lang w:val="ro-RO"/>
              </w:rPr>
            </w:pPr>
            <w:r w:rsidRPr="00A955E0">
              <w:rPr>
                <w:lang w:val="ro-RO"/>
              </w:rPr>
              <w:t>a) La momentul depunerii cererii de finanțare, grupul de producători face parte dintr-un grup operaţional care implementează un proiect de dezvoltare-inovare pe sM 16.1</w:t>
            </w:r>
          </w:p>
        </w:tc>
        <w:tc>
          <w:tcPr>
            <w:tcW w:w="1276" w:type="dxa"/>
            <w:shd w:val="clear" w:color="auto" w:fill="auto"/>
            <w:vAlign w:val="center"/>
          </w:tcPr>
          <w:p w14:paraId="31EA9099" w14:textId="77777777" w:rsidR="0076713B" w:rsidRPr="00A955E0" w:rsidRDefault="0076713B" w:rsidP="00867B99">
            <w:pPr>
              <w:rPr>
                <w:lang w:val="ro-RO"/>
              </w:rPr>
            </w:pPr>
            <w:r w:rsidRPr="00A955E0">
              <w:rPr>
                <w:lang w:val="ro-RO"/>
              </w:rPr>
              <w:t>10 p</w:t>
            </w:r>
          </w:p>
        </w:tc>
      </w:tr>
      <w:tr w:rsidR="0076713B" w:rsidRPr="00A955E0" w14:paraId="62CFA88A" w14:textId="77777777" w:rsidTr="003D68F2">
        <w:trPr>
          <w:trHeight w:val="397"/>
        </w:trPr>
        <w:tc>
          <w:tcPr>
            <w:tcW w:w="675" w:type="dxa"/>
            <w:vMerge/>
            <w:shd w:val="clear" w:color="auto" w:fill="auto"/>
          </w:tcPr>
          <w:p w14:paraId="12DF6A65" w14:textId="77777777" w:rsidR="0076713B" w:rsidRPr="00A955E0" w:rsidRDefault="0076713B" w:rsidP="00867B99">
            <w:pPr>
              <w:rPr>
                <w:lang w:val="ro-RO"/>
              </w:rPr>
            </w:pPr>
          </w:p>
        </w:tc>
        <w:tc>
          <w:tcPr>
            <w:tcW w:w="7938" w:type="dxa"/>
            <w:shd w:val="clear" w:color="auto" w:fill="auto"/>
            <w:vAlign w:val="center"/>
          </w:tcPr>
          <w:p w14:paraId="200158EB" w14:textId="1725B1E1" w:rsidR="0076713B" w:rsidRPr="00A955E0" w:rsidRDefault="0076713B" w:rsidP="00867B99">
            <w:pPr>
              <w:rPr>
                <w:lang w:val="ro-RO"/>
              </w:rPr>
            </w:pPr>
            <w:r w:rsidRPr="00A955E0">
              <w:rPr>
                <w:lang w:val="ro-RO"/>
              </w:rPr>
              <w:t xml:space="preserve">b) </w:t>
            </w:r>
            <w:r w:rsidR="001E5745" w:rsidRPr="00A955E0">
              <w:rPr>
                <w:lang w:val="ro-RO"/>
              </w:rPr>
              <w:t>La momentul depunerii cererii de finanțare, p</w:t>
            </w:r>
            <w:r w:rsidRPr="00A955E0">
              <w:rPr>
                <w:lang w:val="ro-RO"/>
              </w:rPr>
              <w:t xml:space="preserve">arteneriatul </w:t>
            </w:r>
            <w:r w:rsidR="001E5745" w:rsidRPr="00A955E0">
              <w:rPr>
                <w:lang w:val="ro-RO"/>
              </w:rPr>
              <w:t xml:space="preserve">are un proiect selectat </w:t>
            </w:r>
            <w:r w:rsidRPr="00A955E0">
              <w:rPr>
                <w:lang w:val="ro-RO"/>
              </w:rPr>
              <w:t>în etapa a II - a sM 16.1</w:t>
            </w:r>
          </w:p>
        </w:tc>
        <w:tc>
          <w:tcPr>
            <w:tcW w:w="1276" w:type="dxa"/>
            <w:shd w:val="clear" w:color="auto" w:fill="auto"/>
            <w:vAlign w:val="center"/>
          </w:tcPr>
          <w:p w14:paraId="6EBCF9FF" w14:textId="77777777" w:rsidR="0076713B" w:rsidRPr="00A955E0" w:rsidRDefault="0076713B" w:rsidP="00867B99">
            <w:pPr>
              <w:rPr>
                <w:lang w:val="ro-RO"/>
              </w:rPr>
            </w:pPr>
            <w:r w:rsidRPr="00A955E0">
              <w:rPr>
                <w:lang w:val="ro-RO"/>
              </w:rPr>
              <w:t>7 p</w:t>
            </w:r>
          </w:p>
        </w:tc>
      </w:tr>
      <w:tr w:rsidR="0076713B" w:rsidRPr="00A955E0" w14:paraId="15D92FC5" w14:textId="77777777" w:rsidTr="003D68F2">
        <w:trPr>
          <w:trHeight w:val="569"/>
        </w:trPr>
        <w:tc>
          <w:tcPr>
            <w:tcW w:w="9889" w:type="dxa"/>
            <w:gridSpan w:val="3"/>
            <w:shd w:val="clear" w:color="auto" w:fill="auto"/>
          </w:tcPr>
          <w:p w14:paraId="3111E05D" w14:textId="77777777" w:rsidR="0076713B" w:rsidRPr="00A955E0" w:rsidRDefault="0076713B" w:rsidP="00867B99">
            <w:pPr>
              <w:rPr>
                <w:i/>
                <w:lang w:val="ro-RO"/>
              </w:rPr>
            </w:pPr>
            <w:r w:rsidRPr="00A955E0">
              <w:rPr>
                <w:i/>
                <w:lang w:val="ro-RO"/>
              </w:rPr>
              <w:t>Solicitantul va detalia îndeplinirea acestui criteriu de selecție în cererea de finanțare.</w:t>
            </w:r>
          </w:p>
        </w:tc>
      </w:tr>
      <w:tr w:rsidR="0076713B" w:rsidRPr="00A955E0" w14:paraId="79E3A694" w14:textId="77777777" w:rsidTr="003D68F2">
        <w:trPr>
          <w:trHeight w:val="513"/>
        </w:trPr>
        <w:tc>
          <w:tcPr>
            <w:tcW w:w="675" w:type="dxa"/>
            <w:vMerge w:val="restart"/>
            <w:shd w:val="clear" w:color="auto" w:fill="auto"/>
          </w:tcPr>
          <w:p w14:paraId="480A6631" w14:textId="5DA67129" w:rsidR="0076713B" w:rsidRPr="00A955E0" w:rsidRDefault="00513657" w:rsidP="00867B99">
            <w:pPr>
              <w:rPr>
                <w:b/>
                <w:lang w:val="ro-RO"/>
              </w:rPr>
            </w:pPr>
            <w:r>
              <w:rPr>
                <w:b/>
                <w:lang w:val="ro-RO"/>
              </w:rPr>
              <w:t>P</w:t>
            </w:r>
            <w:r w:rsidR="0076713B" w:rsidRPr="00A955E0">
              <w:rPr>
                <w:b/>
                <w:lang w:val="ro-RO"/>
              </w:rPr>
              <w:t>2.</w:t>
            </w:r>
          </w:p>
        </w:tc>
        <w:tc>
          <w:tcPr>
            <w:tcW w:w="7938" w:type="dxa"/>
            <w:shd w:val="clear" w:color="auto" w:fill="FABF8F"/>
            <w:vAlign w:val="center"/>
          </w:tcPr>
          <w:p w14:paraId="51FF4688" w14:textId="77777777" w:rsidR="0076713B" w:rsidRPr="00A955E0" w:rsidRDefault="0076713B" w:rsidP="00867B99">
            <w:pPr>
              <w:rPr>
                <w:b/>
                <w:lang w:val="ro-RO"/>
              </w:rPr>
            </w:pPr>
            <w:r w:rsidRPr="00A955E0">
              <w:rPr>
                <w:b/>
                <w:lang w:val="ro-RO"/>
              </w:rPr>
              <w:t>Principiul reprezentativității grupurilor (numărul de membri)</w:t>
            </w:r>
          </w:p>
        </w:tc>
        <w:tc>
          <w:tcPr>
            <w:tcW w:w="1276" w:type="dxa"/>
            <w:shd w:val="clear" w:color="auto" w:fill="FABF8F"/>
            <w:vAlign w:val="center"/>
          </w:tcPr>
          <w:p w14:paraId="4941BC5A" w14:textId="77777777" w:rsidR="0076713B" w:rsidRPr="00A955E0" w:rsidRDefault="0076713B" w:rsidP="00867B99">
            <w:pPr>
              <w:rPr>
                <w:b/>
                <w:lang w:val="ro-RO"/>
              </w:rPr>
            </w:pPr>
            <w:r w:rsidRPr="00A955E0">
              <w:rPr>
                <w:b/>
                <w:lang w:val="ro-RO"/>
              </w:rPr>
              <w:t>Max. 30 p</w:t>
            </w:r>
          </w:p>
        </w:tc>
      </w:tr>
      <w:tr w:rsidR="0076713B" w:rsidRPr="00A955E0" w14:paraId="0D1E8D7A" w14:textId="77777777" w:rsidTr="003D68F2">
        <w:trPr>
          <w:trHeight w:val="515"/>
        </w:trPr>
        <w:tc>
          <w:tcPr>
            <w:tcW w:w="675" w:type="dxa"/>
            <w:vMerge/>
            <w:shd w:val="clear" w:color="auto" w:fill="auto"/>
          </w:tcPr>
          <w:p w14:paraId="2D7A6C76" w14:textId="77777777" w:rsidR="0076713B" w:rsidRPr="00A955E0" w:rsidRDefault="0076713B" w:rsidP="00867B99">
            <w:pPr>
              <w:rPr>
                <w:b/>
                <w:lang w:val="ro-RO"/>
              </w:rPr>
            </w:pPr>
          </w:p>
        </w:tc>
        <w:tc>
          <w:tcPr>
            <w:tcW w:w="7938" w:type="dxa"/>
            <w:shd w:val="clear" w:color="auto" w:fill="auto"/>
            <w:vAlign w:val="center"/>
          </w:tcPr>
          <w:p w14:paraId="4C9FA589" w14:textId="77777777" w:rsidR="0076713B" w:rsidRPr="00A955E0" w:rsidRDefault="0076713B" w:rsidP="00867B99">
            <w:pPr>
              <w:rPr>
                <w:b/>
                <w:lang w:val="ro-RO"/>
              </w:rPr>
            </w:pPr>
            <w:r w:rsidRPr="00A955E0">
              <w:rPr>
                <w:b/>
                <w:lang w:val="ro-RO"/>
              </w:rPr>
              <w:t>2.1.</w:t>
            </w:r>
            <w:r w:rsidRPr="00A955E0">
              <w:rPr>
                <w:lang w:val="ro-RO"/>
              </w:rPr>
              <w:t xml:space="preserve"> Grupul de producători are în componenţă:</w:t>
            </w:r>
          </w:p>
        </w:tc>
        <w:tc>
          <w:tcPr>
            <w:tcW w:w="1276" w:type="dxa"/>
            <w:shd w:val="clear" w:color="auto" w:fill="auto"/>
            <w:vAlign w:val="center"/>
          </w:tcPr>
          <w:p w14:paraId="239E5B3A" w14:textId="77777777" w:rsidR="0076713B" w:rsidRPr="00A955E0" w:rsidRDefault="0076713B" w:rsidP="00867B99">
            <w:pPr>
              <w:rPr>
                <w:b/>
                <w:lang w:val="ro-RO"/>
              </w:rPr>
            </w:pPr>
            <w:r w:rsidRPr="00A955E0">
              <w:rPr>
                <w:b/>
                <w:lang w:val="ro-RO"/>
              </w:rPr>
              <w:t>Max. 30 p</w:t>
            </w:r>
          </w:p>
        </w:tc>
      </w:tr>
      <w:tr w:rsidR="0076713B" w:rsidRPr="00A955E0" w14:paraId="63910DAA" w14:textId="77777777" w:rsidTr="003D68F2">
        <w:trPr>
          <w:trHeight w:val="426"/>
        </w:trPr>
        <w:tc>
          <w:tcPr>
            <w:tcW w:w="675" w:type="dxa"/>
            <w:vMerge/>
            <w:shd w:val="clear" w:color="auto" w:fill="auto"/>
          </w:tcPr>
          <w:p w14:paraId="682626C8" w14:textId="77777777" w:rsidR="0076713B" w:rsidRPr="00A955E0" w:rsidRDefault="0076713B" w:rsidP="00867B99">
            <w:pPr>
              <w:rPr>
                <w:lang w:val="ro-RO"/>
              </w:rPr>
            </w:pPr>
          </w:p>
        </w:tc>
        <w:tc>
          <w:tcPr>
            <w:tcW w:w="7938" w:type="dxa"/>
            <w:shd w:val="clear" w:color="auto" w:fill="auto"/>
            <w:vAlign w:val="center"/>
          </w:tcPr>
          <w:p w14:paraId="1AAABFF8" w14:textId="21289642" w:rsidR="0076713B" w:rsidRPr="00A955E0" w:rsidRDefault="0076713B" w:rsidP="00867B99">
            <w:pPr>
              <w:rPr>
                <w:lang w:val="ro-RO"/>
              </w:rPr>
            </w:pPr>
            <w:r w:rsidRPr="00A955E0">
              <w:rPr>
                <w:lang w:val="ro-RO"/>
              </w:rPr>
              <w:t>a) mai mult de 15 membri</w:t>
            </w:r>
          </w:p>
        </w:tc>
        <w:tc>
          <w:tcPr>
            <w:tcW w:w="1276" w:type="dxa"/>
            <w:shd w:val="clear" w:color="auto" w:fill="auto"/>
            <w:vAlign w:val="center"/>
          </w:tcPr>
          <w:p w14:paraId="2393437E" w14:textId="77777777" w:rsidR="0076713B" w:rsidRPr="00A955E0" w:rsidRDefault="0076713B" w:rsidP="00867B99">
            <w:pPr>
              <w:rPr>
                <w:lang w:val="ro-RO"/>
              </w:rPr>
            </w:pPr>
            <w:r w:rsidRPr="00A955E0">
              <w:rPr>
                <w:lang w:val="ro-RO"/>
              </w:rPr>
              <w:t>30 p</w:t>
            </w:r>
          </w:p>
        </w:tc>
      </w:tr>
      <w:tr w:rsidR="0076713B" w:rsidRPr="00A955E0" w14:paraId="6CEA2584" w14:textId="77777777" w:rsidTr="003D68F2">
        <w:trPr>
          <w:trHeight w:val="404"/>
        </w:trPr>
        <w:tc>
          <w:tcPr>
            <w:tcW w:w="675" w:type="dxa"/>
            <w:vMerge/>
            <w:shd w:val="clear" w:color="auto" w:fill="auto"/>
          </w:tcPr>
          <w:p w14:paraId="4EC62B3E" w14:textId="77777777" w:rsidR="0076713B" w:rsidRPr="00A955E0" w:rsidRDefault="0076713B" w:rsidP="00867B99">
            <w:pPr>
              <w:rPr>
                <w:lang w:val="ro-RO"/>
              </w:rPr>
            </w:pPr>
          </w:p>
        </w:tc>
        <w:tc>
          <w:tcPr>
            <w:tcW w:w="7938" w:type="dxa"/>
            <w:shd w:val="clear" w:color="auto" w:fill="auto"/>
            <w:vAlign w:val="center"/>
          </w:tcPr>
          <w:p w14:paraId="2375C65D" w14:textId="1CC49F29" w:rsidR="0076713B" w:rsidRPr="00A955E0" w:rsidRDefault="0076713B" w:rsidP="00867B99">
            <w:pPr>
              <w:rPr>
                <w:lang w:val="ro-RO"/>
              </w:rPr>
            </w:pPr>
            <w:r w:rsidRPr="00A955E0">
              <w:rPr>
                <w:lang w:val="ro-RO"/>
              </w:rPr>
              <w:t>b) 10-15 membri</w:t>
            </w:r>
          </w:p>
        </w:tc>
        <w:tc>
          <w:tcPr>
            <w:tcW w:w="1276" w:type="dxa"/>
            <w:shd w:val="clear" w:color="auto" w:fill="auto"/>
            <w:vAlign w:val="center"/>
          </w:tcPr>
          <w:p w14:paraId="78479348" w14:textId="4A5E412C" w:rsidR="0076713B" w:rsidRPr="00A955E0" w:rsidRDefault="0076713B" w:rsidP="00867B99">
            <w:pPr>
              <w:rPr>
                <w:lang w:val="ro-RO"/>
              </w:rPr>
            </w:pPr>
            <w:r w:rsidRPr="00A955E0">
              <w:rPr>
                <w:lang w:val="ro-RO"/>
              </w:rPr>
              <w:t>25 p</w:t>
            </w:r>
          </w:p>
        </w:tc>
      </w:tr>
      <w:tr w:rsidR="0076713B" w:rsidRPr="00A955E0" w14:paraId="19334C79" w14:textId="77777777" w:rsidTr="003D68F2">
        <w:trPr>
          <w:trHeight w:val="423"/>
        </w:trPr>
        <w:tc>
          <w:tcPr>
            <w:tcW w:w="675" w:type="dxa"/>
            <w:vMerge/>
            <w:shd w:val="clear" w:color="auto" w:fill="auto"/>
          </w:tcPr>
          <w:p w14:paraId="6DAE3C9A" w14:textId="77777777" w:rsidR="0076713B" w:rsidRPr="00A955E0" w:rsidRDefault="0076713B" w:rsidP="00867B99">
            <w:pPr>
              <w:rPr>
                <w:lang w:val="ro-RO"/>
              </w:rPr>
            </w:pPr>
          </w:p>
        </w:tc>
        <w:tc>
          <w:tcPr>
            <w:tcW w:w="7938" w:type="dxa"/>
            <w:shd w:val="clear" w:color="auto" w:fill="auto"/>
            <w:vAlign w:val="center"/>
          </w:tcPr>
          <w:p w14:paraId="5057BF54" w14:textId="3E1AB1ED" w:rsidR="0076713B" w:rsidRPr="00A955E0" w:rsidRDefault="0076713B" w:rsidP="00867B99">
            <w:pPr>
              <w:rPr>
                <w:lang w:val="ro-RO"/>
              </w:rPr>
            </w:pPr>
            <w:r w:rsidRPr="00A955E0">
              <w:rPr>
                <w:lang w:val="ro-RO"/>
              </w:rPr>
              <w:t>c) 6-9 membri</w:t>
            </w:r>
          </w:p>
        </w:tc>
        <w:tc>
          <w:tcPr>
            <w:tcW w:w="1276" w:type="dxa"/>
            <w:shd w:val="clear" w:color="auto" w:fill="auto"/>
            <w:vAlign w:val="center"/>
          </w:tcPr>
          <w:p w14:paraId="5153DC32" w14:textId="76F5AF98" w:rsidR="0076713B" w:rsidRPr="00A955E0" w:rsidRDefault="0076713B" w:rsidP="00867B99">
            <w:pPr>
              <w:rPr>
                <w:lang w:val="ro-RO"/>
              </w:rPr>
            </w:pPr>
            <w:r w:rsidRPr="00A955E0">
              <w:rPr>
                <w:lang w:val="ro-RO"/>
              </w:rPr>
              <w:t>20 p</w:t>
            </w:r>
          </w:p>
        </w:tc>
      </w:tr>
      <w:tr w:rsidR="0076713B" w:rsidRPr="00A955E0" w14:paraId="6ED0BE88" w14:textId="77777777" w:rsidTr="003D68F2">
        <w:trPr>
          <w:trHeight w:val="423"/>
        </w:trPr>
        <w:tc>
          <w:tcPr>
            <w:tcW w:w="9889" w:type="dxa"/>
            <w:gridSpan w:val="3"/>
            <w:shd w:val="clear" w:color="auto" w:fill="auto"/>
          </w:tcPr>
          <w:p w14:paraId="2B5C0EA8" w14:textId="77777777" w:rsidR="00541D94" w:rsidRPr="00A955E0" w:rsidRDefault="00541D94" w:rsidP="00867B99">
            <w:pPr>
              <w:rPr>
                <w:i/>
                <w:lang w:val="ro-RO"/>
              </w:rPr>
            </w:pPr>
          </w:p>
          <w:p w14:paraId="60097D6B" w14:textId="17BF924B" w:rsidR="0076713B" w:rsidRPr="00A955E0" w:rsidRDefault="0076713B" w:rsidP="00867B99">
            <w:pPr>
              <w:rPr>
                <w:i/>
                <w:lang w:val="ro-RO"/>
              </w:rPr>
            </w:pPr>
            <w:r w:rsidRPr="00A955E0">
              <w:rPr>
                <w:i/>
                <w:lang w:val="ro-RO"/>
              </w:rPr>
              <w:t>Numărul membrilor se va prezenta în planul de afaceri și se va verifica în Statutul grupului de producători.</w:t>
            </w:r>
          </w:p>
          <w:p w14:paraId="671D6C4D" w14:textId="77777777" w:rsidR="0076713B" w:rsidRPr="00A955E0" w:rsidRDefault="0076713B" w:rsidP="00867B99">
            <w:pPr>
              <w:rPr>
                <w:lang w:val="ro-RO"/>
              </w:rPr>
            </w:pPr>
            <w:r w:rsidRPr="00A955E0">
              <w:rPr>
                <w:i/>
                <w:lang w:val="ro-RO"/>
              </w:rPr>
              <w:t>Verificarea criteriilor de selecție ale acestui principiu se bazează pe documentele justificative prezentate de către solicitant la momentul depunerii cererii de finanțare. După contractare, având în vedere caracterul stimulativ al sprijinului, numărul membrilor grupului de producători, beneficiar de sprijin, poate înregistra creșteri, fără nicio restricție. În perioada de implementare a planului de afacere, numărul membrilor nu va scădea sub valoarea pentru care s-a primit punctaj. În cazul retragerii anumitor membrii, grupul va coopta noi membrii astfel încât atingerea obiectivelor din planul de afaceri să nu fie afectată.</w:t>
            </w:r>
          </w:p>
        </w:tc>
      </w:tr>
      <w:tr w:rsidR="0076713B" w:rsidRPr="00A955E0" w14:paraId="088C64CD" w14:textId="77777777" w:rsidTr="003D68F2">
        <w:tc>
          <w:tcPr>
            <w:tcW w:w="675" w:type="dxa"/>
            <w:vMerge w:val="restart"/>
            <w:shd w:val="clear" w:color="auto" w:fill="auto"/>
          </w:tcPr>
          <w:p w14:paraId="592A4B36" w14:textId="5550152C" w:rsidR="0076713B" w:rsidRPr="00A955E0" w:rsidRDefault="00513657" w:rsidP="00867B99">
            <w:pPr>
              <w:rPr>
                <w:b/>
                <w:lang w:val="ro-RO"/>
              </w:rPr>
            </w:pPr>
            <w:r>
              <w:rPr>
                <w:b/>
                <w:lang w:val="ro-RO"/>
              </w:rPr>
              <w:t>P</w:t>
            </w:r>
            <w:r w:rsidR="0076713B" w:rsidRPr="00A955E0">
              <w:rPr>
                <w:b/>
                <w:lang w:val="ro-RO"/>
              </w:rPr>
              <w:t>3.</w:t>
            </w:r>
          </w:p>
        </w:tc>
        <w:tc>
          <w:tcPr>
            <w:tcW w:w="7938" w:type="dxa"/>
            <w:shd w:val="clear" w:color="auto" w:fill="FABF8F"/>
            <w:vAlign w:val="center"/>
          </w:tcPr>
          <w:p w14:paraId="46942E5C" w14:textId="77777777" w:rsidR="0076713B" w:rsidRPr="00A955E0" w:rsidRDefault="0076713B" w:rsidP="00867B99">
            <w:pPr>
              <w:jc w:val="both"/>
              <w:rPr>
                <w:b/>
                <w:lang w:val="ro-RO"/>
              </w:rPr>
            </w:pPr>
            <w:r w:rsidRPr="00A955E0">
              <w:rPr>
                <w:b/>
                <w:lang w:val="ro-RO"/>
              </w:rPr>
              <w:t>Principiul calităţii produselor (grupurile care produc, depozitează și comercializează produse HNV sau produse care participă la scheme de calitate naționale și europene etc.)</w:t>
            </w:r>
          </w:p>
        </w:tc>
        <w:tc>
          <w:tcPr>
            <w:tcW w:w="1276" w:type="dxa"/>
            <w:shd w:val="clear" w:color="auto" w:fill="FABF8F"/>
            <w:vAlign w:val="center"/>
          </w:tcPr>
          <w:p w14:paraId="3DC34DCC" w14:textId="77777777" w:rsidR="0076713B" w:rsidRPr="00A955E0" w:rsidRDefault="0076713B" w:rsidP="00867B99">
            <w:pPr>
              <w:rPr>
                <w:b/>
                <w:lang w:val="ro-RO"/>
              </w:rPr>
            </w:pPr>
            <w:r w:rsidRPr="00A955E0">
              <w:rPr>
                <w:b/>
                <w:lang w:val="ro-RO"/>
              </w:rPr>
              <w:t>Max. 25 p</w:t>
            </w:r>
          </w:p>
        </w:tc>
      </w:tr>
      <w:tr w:rsidR="0076713B" w:rsidRPr="00A955E0" w14:paraId="2A2F20D7" w14:textId="77777777" w:rsidTr="003D68F2">
        <w:trPr>
          <w:trHeight w:val="665"/>
        </w:trPr>
        <w:tc>
          <w:tcPr>
            <w:tcW w:w="675" w:type="dxa"/>
            <w:vMerge/>
            <w:shd w:val="clear" w:color="auto" w:fill="auto"/>
            <w:vAlign w:val="center"/>
          </w:tcPr>
          <w:p w14:paraId="0D03D036" w14:textId="77777777" w:rsidR="0076713B" w:rsidRPr="00A955E0" w:rsidRDefault="0076713B" w:rsidP="00867B99">
            <w:pPr>
              <w:rPr>
                <w:lang w:val="ro-RO"/>
              </w:rPr>
            </w:pPr>
          </w:p>
        </w:tc>
        <w:tc>
          <w:tcPr>
            <w:tcW w:w="7938" w:type="dxa"/>
            <w:shd w:val="clear" w:color="auto" w:fill="auto"/>
            <w:vAlign w:val="center"/>
          </w:tcPr>
          <w:p w14:paraId="665762E2" w14:textId="77777777" w:rsidR="0076713B" w:rsidRPr="00A955E0" w:rsidRDefault="0076713B" w:rsidP="00867B99">
            <w:pPr>
              <w:jc w:val="both"/>
              <w:rPr>
                <w:lang w:val="ro-RO"/>
              </w:rPr>
            </w:pPr>
            <w:r w:rsidRPr="00A955E0">
              <w:rPr>
                <w:b/>
                <w:lang w:val="ro-RO"/>
              </w:rPr>
              <w:t>3.1.</w:t>
            </w:r>
            <w:r w:rsidRPr="00A955E0">
              <w:rPr>
                <w:lang w:val="ro-RO"/>
              </w:rPr>
              <w:t xml:space="preserve"> </w:t>
            </w:r>
            <w:r w:rsidRPr="00A955E0">
              <w:rPr>
                <w:b/>
                <w:lang w:val="ro-RO"/>
              </w:rPr>
              <w:t>Grupul de producători își propune, prin planul de afaceri, că va efectua investiţii care deservesc membrii fermieri înscriși în sistemul de certificare în agricultura ecologică.</w:t>
            </w:r>
          </w:p>
          <w:p w14:paraId="6A2ECF58" w14:textId="77777777" w:rsidR="0076713B" w:rsidRPr="00A955E0" w:rsidRDefault="0076713B" w:rsidP="00867B99">
            <w:pPr>
              <w:jc w:val="both"/>
              <w:rPr>
                <w:i/>
                <w:lang w:val="ro-RO"/>
              </w:rPr>
            </w:pPr>
            <w:r w:rsidRPr="00A955E0">
              <w:rPr>
                <w:i/>
                <w:lang w:val="ro-RO"/>
              </w:rPr>
              <w:t xml:space="preserve">Punctajul se va acorda dacă cel puțin un producător agricol, membru al grupului, este înscris în sistemul ecologic și grupul își propune, prin planul de afaceri, </w:t>
            </w:r>
            <w:r w:rsidRPr="00A955E0">
              <w:rPr>
                <w:i/>
                <w:lang w:val="ro-RO"/>
              </w:rPr>
              <w:lastRenderedPageBreak/>
              <w:t>investiții/operațiuni/acțiuni în agricultura ecologică. Se aplică atât sectorului vegetal, cât și sectorului zootehnic.</w:t>
            </w:r>
          </w:p>
          <w:p w14:paraId="20D55829" w14:textId="77777777" w:rsidR="0076713B" w:rsidRPr="00A955E0" w:rsidRDefault="0076713B" w:rsidP="00867B99">
            <w:pPr>
              <w:jc w:val="both"/>
              <w:rPr>
                <w:i/>
                <w:lang w:val="ro-RO"/>
              </w:rPr>
            </w:pPr>
            <w:r w:rsidRPr="00A955E0">
              <w:rPr>
                <w:i/>
                <w:lang w:val="ro-RO"/>
              </w:rPr>
              <w:t>Verificarea îndeplinirii acestui criteriu se va realiza pe baza planului de afaceri și a  certificatelor/documentelor membrului/membrilor privind conversia/certificarea ca producători agricoli de produse ecologice, conform OUG 34/2000 privind produsele agroalimentare ecologice, cu modificările și completările ulterioare.</w:t>
            </w:r>
          </w:p>
          <w:p w14:paraId="33A3D3AB" w14:textId="77777777" w:rsidR="0076713B" w:rsidRPr="00A955E0" w:rsidRDefault="0076713B" w:rsidP="00867B99">
            <w:pPr>
              <w:jc w:val="both"/>
              <w:rPr>
                <w:lang w:val="ro-RO"/>
              </w:rPr>
            </w:pPr>
            <w:r w:rsidRPr="00A955E0">
              <w:rPr>
                <w:lang w:val="ro-RO"/>
              </w:rPr>
              <w:t>Atenție!</w:t>
            </w:r>
          </w:p>
          <w:p w14:paraId="18447DA8" w14:textId="62C4244B" w:rsidR="0076713B" w:rsidRPr="00A955E0" w:rsidRDefault="0076713B" w:rsidP="00867B99">
            <w:pPr>
              <w:jc w:val="both"/>
              <w:rPr>
                <w:i/>
                <w:lang w:val="ro-RO"/>
              </w:rPr>
            </w:pPr>
            <w:r w:rsidRPr="00A955E0">
              <w:rPr>
                <w:i/>
                <w:lang w:val="ro-RO"/>
              </w:rPr>
              <w:t>Grupul de producători care a primit punctaj în etapa de selecţie pentru acest criteriu va stabili, ca obiectiv în planul de afaceri, efectuarea de investiții/operațiuni/acțiuni care deservesc membrul/membrii fermieri înscriși în sistemul de certificare în agricultura ecologică și va descrie investițiile/operațiunile/acțiunile avute în vedere.</w:t>
            </w:r>
          </w:p>
          <w:p w14:paraId="16954E61" w14:textId="557ACAD5" w:rsidR="00541D94" w:rsidRPr="00DE2491" w:rsidRDefault="0076713B" w:rsidP="00867B99">
            <w:pPr>
              <w:jc w:val="both"/>
              <w:rPr>
                <w:i/>
                <w:lang w:val="ro-RO"/>
              </w:rPr>
            </w:pPr>
            <w:r w:rsidRPr="00A955E0">
              <w:rPr>
                <w:i/>
                <w:lang w:val="ro-RO"/>
              </w:rPr>
              <w:t>Nu este obligatoriu ca investițiile/operațiunile/actiunile prevăzute în planul de afaceri să fie destinate exclusiv me</w:t>
            </w:r>
            <w:r w:rsidR="00867B99" w:rsidRPr="00A955E0">
              <w:rPr>
                <w:i/>
                <w:lang w:val="ro-RO"/>
              </w:rPr>
              <w:t>m</w:t>
            </w:r>
            <w:r w:rsidRPr="00A955E0">
              <w:rPr>
                <w:i/>
                <w:lang w:val="ro-RO"/>
              </w:rPr>
              <w:t>brilor înscriși în agricultura ecologică.</w:t>
            </w:r>
          </w:p>
        </w:tc>
        <w:tc>
          <w:tcPr>
            <w:tcW w:w="1276" w:type="dxa"/>
            <w:shd w:val="clear" w:color="auto" w:fill="auto"/>
            <w:vAlign w:val="center"/>
          </w:tcPr>
          <w:p w14:paraId="78ECA97D" w14:textId="77777777" w:rsidR="0076713B" w:rsidRPr="00A955E0" w:rsidRDefault="0076713B" w:rsidP="00867B99">
            <w:pPr>
              <w:rPr>
                <w:lang w:val="ro-RO"/>
              </w:rPr>
            </w:pPr>
            <w:r w:rsidRPr="00A955E0">
              <w:rPr>
                <w:lang w:val="ro-RO"/>
              </w:rPr>
              <w:lastRenderedPageBreak/>
              <w:t>15 p</w:t>
            </w:r>
          </w:p>
        </w:tc>
      </w:tr>
      <w:tr w:rsidR="0076713B" w:rsidRPr="00A955E0" w14:paraId="3B8E0034" w14:textId="77777777" w:rsidTr="003D68F2">
        <w:trPr>
          <w:trHeight w:val="419"/>
        </w:trPr>
        <w:tc>
          <w:tcPr>
            <w:tcW w:w="675" w:type="dxa"/>
            <w:vMerge/>
            <w:shd w:val="clear" w:color="auto" w:fill="auto"/>
            <w:vAlign w:val="center"/>
          </w:tcPr>
          <w:p w14:paraId="6D0B9877" w14:textId="77777777" w:rsidR="0076713B" w:rsidRPr="00A955E0" w:rsidRDefault="0076713B" w:rsidP="00867B99">
            <w:pPr>
              <w:rPr>
                <w:lang w:val="ro-RO"/>
              </w:rPr>
            </w:pPr>
          </w:p>
        </w:tc>
        <w:tc>
          <w:tcPr>
            <w:tcW w:w="7938" w:type="dxa"/>
            <w:shd w:val="clear" w:color="auto" w:fill="auto"/>
            <w:vAlign w:val="center"/>
          </w:tcPr>
          <w:p w14:paraId="70E50E8E" w14:textId="77777777" w:rsidR="0076713B" w:rsidRPr="00A955E0" w:rsidRDefault="0076713B" w:rsidP="00867B99">
            <w:pPr>
              <w:jc w:val="both"/>
              <w:rPr>
                <w:b/>
                <w:lang w:val="ro-RO"/>
              </w:rPr>
            </w:pPr>
            <w:r w:rsidRPr="00A955E0">
              <w:rPr>
                <w:b/>
                <w:lang w:val="ro-RO"/>
              </w:rPr>
              <w:t>3.2. Grupul de producători se angajează, prin planul de afaceri, că va comercializa produse agricole:</w:t>
            </w:r>
          </w:p>
        </w:tc>
        <w:tc>
          <w:tcPr>
            <w:tcW w:w="1276" w:type="dxa"/>
            <w:shd w:val="clear" w:color="auto" w:fill="auto"/>
            <w:vAlign w:val="center"/>
          </w:tcPr>
          <w:p w14:paraId="1E6C4B35" w14:textId="77777777" w:rsidR="0076713B" w:rsidRPr="00A955E0" w:rsidRDefault="0076713B" w:rsidP="00867B99">
            <w:pPr>
              <w:rPr>
                <w:lang w:val="ro-RO"/>
              </w:rPr>
            </w:pPr>
          </w:p>
        </w:tc>
      </w:tr>
      <w:tr w:rsidR="0076713B" w:rsidRPr="00A955E0" w14:paraId="08635982" w14:textId="77777777" w:rsidTr="003D68F2">
        <w:trPr>
          <w:trHeight w:val="395"/>
        </w:trPr>
        <w:tc>
          <w:tcPr>
            <w:tcW w:w="675" w:type="dxa"/>
            <w:vMerge/>
            <w:shd w:val="clear" w:color="auto" w:fill="auto"/>
            <w:vAlign w:val="center"/>
          </w:tcPr>
          <w:p w14:paraId="51AA9D76" w14:textId="77777777" w:rsidR="0076713B" w:rsidRPr="00A955E0" w:rsidRDefault="0076713B" w:rsidP="00867B99">
            <w:pPr>
              <w:rPr>
                <w:lang w:val="ro-RO"/>
              </w:rPr>
            </w:pPr>
          </w:p>
        </w:tc>
        <w:tc>
          <w:tcPr>
            <w:tcW w:w="7938" w:type="dxa"/>
            <w:shd w:val="clear" w:color="auto" w:fill="auto"/>
            <w:vAlign w:val="center"/>
          </w:tcPr>
          <w:p w14:paraId="3644D34E" w14:textId="4AF37ED0" w:rsidR="0076713B" w:rsidRPr="00A955E0" w:rsidRDefault="0076713B" w:rsidP="00867B99">
            <w:pPr>
              <w:numPr>
                <w:ilvl w:val="0"/>
                <w:numId w:val="1"/>
              </w:numPr>
              <w:jc w:val="both"/>
              <w:rPr>
                <w:b/>
                <w:lang w:val="ro-RO"/>
              </w:rPr>
            </w:pPr>
            <w:r w:rsidRPr="00A955E0">
              <w:rPr>
                <w:b/>
                <w:lang w:val="ro-RO"/>
              </w:rPr>
              <w:t>care participă la o schemă de calitate europeană/sunt certificate în urma unei scheme de calitate europeană</w:t>
            </w:r>
          </w:p>
          <w:p w14:paraId="6EDA6D92" w14:textId="24C0C0ED" w:rsidR="0076713B" w:rsidRPr="00A955E0" w:rsidRDefault="0076713B" w:rsidP="00867B99">
            <w:pPr>
              <w:jc w:val="both"/>
              <w:rPr>
                <w:i/>
                <w:lang w:val="ro-RO"/>
              </w:rPr>
            </w:pPr>
            <w:r w:rsidRPr="00A955E0">
              <w:rPr>
                <w:b/>
                <w:i/>
                <w:lang w:val="ro-RO"/>
              </w:rPr>
              <w:t>Pentru produsele alimentare care sunt în curs de recunoaștere la nivel european,</w:t>
            </w:r>
            <w:r w:rsidRPr="00A955E0">
              <w:rPr>
                <w:lang w:val="ro-RO"/>
              </w:rPr>
              <w:t xml:space="preserve"> </w:t>
            </w:r>
            <w:r w:rsidRPr="00A955E0">
              <w:rPr>
                <w:i/>
                <w:lang w:val="ro-RO"/>
              </w:rPr>
              <w:t>se vor puncta grupurile de producători dacă cel puțin un membru sau grupul demonstrează obținerea a cel puțin un produs alimentar care se află în arealul vizat de documentația depusă în vederea înregistrării indicațiilor geografice protejate (IGP) și a denumirilor de origine protejate (DOP) pentru produsele alimentare, altele decât vinurile de calitate, a indicațiilor geografice (IG) și a denumirilor de origine controlată (DOC) pentru vinurile de calitate, pentru produsele care participă la sisteme de calitate recunoscute la nivel european</w:t>
            </w:r>
            <w:r w:rsidRPr="00A955E0">
              <w:rPr>
                <w:lang w:val="ro-RO"/>
              </w:rPr>
              <w:t xml:space="preserve">, </w:t>
            </w:r>
            <w:r w:rsidRPr="00A955E0">
              <w:rPr>
                <w:i/>
                <w:lang w:val="ro-RO"/>
              </w:rPr>
              <w:t>precum și utilizarea mențiunii de calitate facultative „produs montan”</w:t>
            </w:r>
            <w:r w:rsidRPr="00A955E0">
              <w:rPr>
                <w:i/>
                <w:vertAlign w:val="superscript"/>
                <w:lang w:val="ro-RO"/>
              </w:rPr>
              <w:t xml:space="preserve"> </w:t>
            </w:r>
            <w:r w:rsidRPr="00A955E0">
              <w:rPr>
                <w:i/>
                <w:vertAlign w:val="superscript"/>
                <w:lang w:val="ro-RO"/>
              </w:rPr>
              <w:footnoteReference w:id="1"/>
            </w:r>
            <w:r w:rsidRPr="00A955E0">
              <w:rPr>
                <w:i/>
                <w:lang w:val="ro-RO"/>
              </w:rPr>
              <w:t>, cu respectarea prevederilor din Reg. 1151/2012 privind sistemele din domeniul calităţii produselor agricole şi alimentare.</w:t>
            </w:r>
          </w:p>
          <w:p w14:paraId="419F3F9A" w14:textId="0D7D0D5A" w:rsidR="0076713B" w:rsidRPr="00A955E0" w:rsidRDefault="0076713B" w:rsidP="00867B99">
            <w:pPr>
              <w:jc w:val="both"/>
              <w:rPr>
                <w:i/>
                <w:lang w:val="ro-RO"/>
              </w:rPr>
            </w:pPr>
            <w:r w:rsidRPr="00A955E0">
              <w:rPr>
                <w:i/>
                <w:lang w:val="ro-RO"/>
              </w:rPr>
              <w:t>Solicitantul/membrul/membrii trebuie să respecte mențiunile din caietul de sarcini pentru sistemul de calitate vizat iar produsul trebuie să fie înregistrat în Registrul Sistemelor din Domeniul Calității Protejate Național (RSCPN) – produse alimentare, altele decât vinul, și Registrul Unic DOC-IG – vinuri de calitate iar documentația este transmisă la Comisia Europeană pentru înregistrare în vederea obținerii protecției europene.</w:t>
            </w:r>
          </w:p>
          <w:p w14:paraId="62707D87" w14:textId="75CF3403" w:rsidR="0076713B" w:rsidRPr="00A955E0" w:rsidRDefault="0076713B" w:rsidP="00867B99">
            <w:pPr>
              <w:jc w:val="both"/>
              <w:rPr>
                <w:i/>
                <w:lang w:val="ro-RO"/>
              </w:rPr>
            </w:pPr>
            <w:r w:rsidRPr="00A955E0">
              <w:rPr>
                <w:b/>
                <w:i/>
                <w:lang w:val="ro-RO"/>
              </w:rPr>
              <w:lastRenderedPageBreak/>
              <w:t>În cazul produselor alimentare care sunt în curs de înregistrare și recunoaștere la nivel european pentru înregistrarea denumirii de specialitate tradițională garantată (STG)</w:t>
            </w:r>
            <w:r w:rsidRPr="00A955E0">
              <w:rPr>
                <w:i/>
                <w:lang w:val="ro-RO"/>
              </w:rPr>
              <w:t>, grupurile de producători vor fi punctate dacă grupul/membrul/membrii respectă mențiunile din caietul de sarcini depus în vederea recunoașterii, înregistrării în Registrul Sistemelor din Domeniul Calității Protejate Național (RSCPN) și transmiterii documentației pentru obținerea înregistrării și protecției la nivel european.</w:t>
            </w:r>
          </w:p>
          <w:p w14:paraId="7E327A4E" w14:textId="3251B34E" w:rsidR="0076713B" w:rsidRPr="00A955E0" w:rsidRDefault="0076713B" w:rsidP="00867B99">
            <w:pPr>
              <w:jc w:val="both"/>
              <w:rPr>
                <w:lang w:val="ro-RO"/>
              </w:rPr>
            </w:pPr>
            <w:r w:rsidRPr="00A955E0">
              <w:rPr>
                <w:b/>
                <w:i/>
                <w:lang w:val="ro-RO"/>
              </w:rPr>
              <w:t>În cazul</w:t>
            </w:r>
            <w:r w:rsidRPr="00A955E0">
              <w:rPr>
                <w:i/>
                <w:lang w:val="ro-RO"/>
              </w:rPr>
              <w:t xml:space="preserve"> </w:t>
            </w:r>
            <w:r w:rsidRPr="00A955E0">
              <w:rPr>
                <w:b/>
                <w:i/>
                <w:lang w:val="ro-RO"/>
              </w:rPr>
              <w:t>produselor alimentare care au obținut recunoșterea la nivel european</w:t>
            </w:r>
            <w:r w:rsidRPr="00A955E0">
              <w:rPr>
                <w:i/>
                <w:lang w:val="ro-RO"/>
              </w:rPr>
              <w:t>, grupurile de producători vor fi punctate dacă cel puțin un membru sau grupul figurează cu un astfel de produs în baza de date eAmbrosia a Comisiei Europene</w:t>
            </w:r>
            <w:r w:rsidRPr="00A955E0">
              <w:rPr>
                <w:lang w:val="ro-RO"/>
              </w:rPr>
              <w:t>.</w:t>
            </w:r>
          </w:p>
          <w:p w14:paraId="718B0682" w14:textId="77777777" w:rsidR="0076713B" w:rsidRPr="00A955E0" w:rsidRDefault="0076713B" w:rsidP="00867B99">
            <w:pPr>
              <w:jc w:val="both"/>
              <w:rPr>
                <w:lang w:val="ro-RO"/>
              </w:rPr>
            </w:pPr>
            <w:r w:rsidRPr="00A955E0">
              <w:rPr>
                <w:i/>
                <w:lang w:val="ro-RO"/>
              </w:rPr>
              <w:t>În situațiile de mai sus, punctajul se acordă dacă cel puțin un membru al grupului sau grupul obține cel puțin un produs care participă la o schemă de calitate/este certificat în urma unei scheme de calitate europene</w:t>
            </w:r>
            <w:r w:rsidRPr="00A955E0">
              <w:rPr>
                <w:b/>
                <w:bCs/>
                <w:lang w:val="ro-RO"/>
              </w:rPr>
              <w:t xml:space="preserve"> </w:t>
            </w:r>
            <w:r w:rsidRPr="00A955E0">
              <w:rPr>
                <w:i/>
                <w:lang w:val="ro-RO"/>
              </w:rPr>
              <w:t>și grupul își propune, prin planul de afaceri (secțiunea Obiective suplimentare), comercializarea unui astfel de produs</w:t>
            </w:r>
            <w:r w:rsidRPr="00A955E0">
              <w:rPr>
                <w:lang w:val="ro-RO"/>
              </w:rPr>
              <w:t>.</w:t>
            </w:r>
          </w:p>
        </w:tc>
        <w:tc>
          <w:tcPr>
            <w:tcW w:w="1276" w:type="dxa"/>
            <w:shd w:val="clear" w:color="auto" w:fill="auto"/>
            <w:vAlign w:val="center"/>
          </w:tcPr>
          <w:p w14:paraId="7D8592F2" w14:textId="77777777" w:rsidR="0076713B" w:rsidRPr="00A955E0" w:rsidRDefault="0076713B" w:rsidP="00867B99">
            <w:pPr>
              <w:rPr>
                <w:lang w:val="ro-RO"/>
              </w:rPr>
            </w:pPr>
            <w:r w:rsidRPr="00A955E0">
              <w:rPr>
                <w:lang w:val="ro-RO"/>
              </w:rPr>
              <w:lastRenderedPageBreak/>
              <w:t>10 p</w:t>
            </w:r>
          </w:p>
        </w:tc>
      </w:tr>
      <w:tr w:rsidR="0076713B" w:rsidRPr="00A955E0" w14:paraId="0F01A64A" w14:textId="77777777" w:rsidTr="00541D94">
        <w:trPr>
          <w:trHeight w:val="800"/>
        </w:trPr>
        <w:tc>
          <w:tcPr>
            <w:tcW w:w="675" w:type="dxa"/>
            <w:vMerge/>
            <w:shd w:val="clear" w:color="auto" w:fill="auto"/>
            <w:vAlign w:val="center"/>
          </w:tcPr>
          <w:p w14:paraId="666D92FC" w14:textId="77777777" w:rsidR="0076713B" w:rsidRPr="00A955E0" w:rsidRDefault="0076713B" w:rsidP="00867B99">
            <w:pPr>
              <w:jc w:val="both"/>
              <w:rPr>
                <w:lang w:val="ro-RO"/>
              </w:rPr>
            </w:pPr>
          </w:p>
        </w:tc>
        <w:tc>
          <w:tcPr>
            <w:tcW w:w="7938" w:type="dxa"/>
            <w:shd w:val="clear" w:color="auto" w:fill="auto"/>
            <w:vAlign w:val="center"/>
          </w:tcPr>
          <w:p w14:paraId="14ACC7AF" w14:textId="2AA1F618" w:rsidR="0076713B" w:rsidRPr="00A955E0" w:rsidRDefault="0076713B" w:rsidP="00867B99">
            <w:pPr>
              <w:numPr>
                <w:ilvl w:val="0"/>
                <w:numId w:val="1"/>
              </w:numPr>
              <w:jc w:val="both"/>
              <w:rPr>
                <w:b/>
                <w:lang w:val="ro-RO"/>
              </w:rPr>
            </w:pPr>
            <w:r w:rsidRPr="00A955E0">
              <w:rPr>
                <w:b/>
                <w:lang w:val="ro-RO"/>
              </w:rPr>
              <w:t>tradiționale</w:t>
            </w:r>
            <w:r w:rsidRPr="00A955E0">
              <w:rPr>
                <w:b/>
                <w:bCs/>
                <w:i/>
                <w:iCs/>
                <w:lang w:val="ro-RO"/>
              </w:rPr>
              <w:t xml:space="preserve"> precum și produse alimentare marcate cu mențiunea </w:t>
            </w:r>
            <w:r w:rsidRPr="00A955E0">
              <w:rPr>
                <w:b/>
                <w:i/>
                <w:lang w:val="ro-RO"/>
              </w:rPr>
              <w:t xml:space="preserve"> rețetă consacrată, calitate pre</w:t>
            </w:r>
            <w:r w:rsidR="00A955E0">
              <w:rPr>
                <w:b/>
                <w:i/>
                <w:lang w:val="ro-RO"/>
              </w:rPr>
              <w:t>mium, porc crescut în bunăstare</w:t>
            </w:r>
            <w:r w:rsidRPr="00A955E0">
              <w:rPr>
                <w:b/>
                <w:lang w:val="ro-RO"/>
              </w:rPr>
              <w:t xml:space="preserve"> și/sau produse care au obținut mențiunea de calitate „produs montan”</w:t>
            </w:r>
          </w:p>
          <w:p w14:paraId="0361577C" w14:textId="7739635A" w:rsidR="0076713B" w:rsidRPr="00A955E0" w:rsidRDefault="0076713B" w:rsidP="00867B99">
            <w:pPr>
              <w:jc w:val="both"/>
              <w:rPr>
                <w:lang w:val="ro-RO"/>
              </w:rPr>
            </w:pPr>
            <w:r w:rsidRPr="00A955E0">
              <w:rPr>
                <w:b/>
                <w:i/>
                <w:lang w:val="ro-RO"/>
              </w:rPr>
              <w:t>În cazul produselor tradiționale</w:t>
            </w:r>
            <w:r w:rsidRPr="00A955E0">
              <w:rPr>
                <w:i/>
                <w:lang w:val="ro-RO"/>
              </w:rPr>
              <w:t>, punctajul se acordă dacă cel puțin un membru al grupului sau grupul obține cel puțin un produs tradițional certificat conform prevederilor Ordinului 724/2013 privind atestarea acestor produse, cu modificările și completările ulterioare și grupul își propune, prin planul de afaceri (secțiunea Obiective suplimentare), comercializarea unui astfel de produs</w:t>
            </w:r>
            <w:r w:rsidRPr="00A955E0">
              <w:rPr>
                <w:lang w:val="ro-RO"/>
              </w:rPr>
              <w:t>.</w:t>
            </w:r>
          </w:p>
          <w:p w14:paraId="787AD23D" w14:textId="7B2B99DB" w:rsidR="00771EAD" w:rsidRPr="00771EAD" w:rsidRDefault="00771EAD" w:rsidP="00867B99">
            <w:pPr>
              <w:jc w:val="both"/>
              <w:rPr>
                <w:b/>
                <w:i/>
                <w:iCs/>
                <w:lang w:val="ro-RO"/>
              </w:rPr>
            </w:pPr>
            <w:r w:rsidRPr="00771EAD">
              <w:rPr>
                <w:i/>
                <w:iCs/>
              </w:rPr>
              <w:t>*</w:t>
            </w:r>
            <w:r w:rsidRPr="00771EAD">
              <w:rPr>
                <w:i/>
                <w:iCs/>
                <w:lang w:val="ro-RO"/>
              </w:rPr>
              <w:t xml:space="preserve">Pentru sesiunea 2021, proiectele care prevăd investiții pentru obținerea de produse alimentare marcate cu mențiuni conform schemelor de calitate naționale notificate la Comisia Europeană (rețete consacrate românești, produse de calitate garantată, calitate </w:t>
            </w:r>
            <w:proofErr w:type="spellStart"/>
            <w:r w:rsidRPr="00771EAD">
              <w:rPr>
                <w:i/>
                <w:iCs/>
                <w:lang w:val="ro-RO"/>
              </w:rPr>
              <w:t>premium</w:t>
            </w:r>
            <w:proofErr w:type="spellEnd"/>
            <w:r w:rsidRPr="00771EAD">
              <w:rPr>
                <w:i/>
                <w:iCs/>
                <w:lang w:val="ro-RO"/>
              </w:rPr>
              <w:t>, porc crescut în bunăstare) pot obține punctaj în cadrul criteriului de selecție dacă la momentul lansării sesiunii de depunere proiecte</w:t>
            </w:r>
            <w:proofErr w:type="gramStart"/>
            <w:r w:rsidRPr="00771EAD">
              <w:rPr>
                <w:i/>
                <w:iCs/>
                <w:lang w:val="ro-RO"/>
              </w:rPr>
              <w:t>,  schemele</w:t>
            </w:r>
            <w:proofErr w:type="gramEnd"/>
            <w:r w:rsidRPr="00771EAD">
              <w:rPr>
                <w:i/>
                <w:iCs/>
                <w:lang w:val="ro-RO"/>
              </w:rPr>
              <w:t xml:space="preserve"> respective sunt aprobate și publicate în Monitorul Oficial.</w:t>
            </w:r>
          </w:p>
          <w:p w14:paraId="3FA59763" w14:textId="12091202" w:rsidR="0076713B" w:rsidRPr="00A955E0" w:rsidRDefault="0076713B" w:rsidP="00867B99">
            <w:pPr>
              <w:jc w:val="both"/>
              <w:rPr>
                <w:i/>
                <w:lang w:val="ro-RO"/>
              </w:rPr>
            </w:pPr>
            <w:r w:rsidRPr="00A955E0">
              <w:rPr>
                <w:b/>
                <w:i/>
                <w:lang w:val="ro-RO"/>
              </w:rPr>
              <w:t>În cazul produselor care au obținut mențiunea de calitate „produs montan”,</w:t>
            </w:r>
            <w:r w:rsidRPr="00A955E0">
              <w:rPr>
                <w:i/>
                <w:lang w:val="ro-RO"/>
              </w:rPr>
              <w:t xml:space="preserve"> se va verifica Registrul Naţional al Produselor Montane iar, în cazul celor care sunt în curs de obținere a acestei mențiuni, se va solicita caietul de sarcini și dovada depunerii acestuia la Direcția Agricolă Județeană.</w:t>
            </w:r>
          </w:p>
          <w:p w14:paraId="6F5D18EA" w14:textId="2A74B5E3" w:rsidR="0076713B" w:rsidRPr="00A955E0" w:rsidRDefault="0076713B" w:rsidP="00867B99">
            <w:pPr>
              <w:jc w:val="both"/>
              <w:rPr>
                <w:i/>
                <w:lang w:val="ro-RO"/>
              </w:rPr>
            </w:pPr>
            <w:r w:rsidRPr="00A955E0">
              <w:rPr>
                <w:i/>
                <w:lang w:val="ro-RO"/>
              </w:rPr>
              <w:t>Punctajul se acordă dacă cel puțin un membru al grupului sau grupul obține sau a demarat* procedura de obținere a mențiunii de calitate „produs montan” și grupul își propune, prin planul de afaceri (secțiunea Obiective suplimentare), comercializarea unui astfel de produs</w:t>
            </w:r>
            <w:r w:rsidRPr="00A955E0">
              <w:rPr>
                <w:lang w:val="ro-RO"/>
              </w:rPr>
              <w:t>.</w:t>
            </w:r>
          </w:p>
          <w:p w14:paraId="6191C516" w14:textId="77777777" w:rsidR="0076713B" w:rsidRPr="00A955E0" w:rsidRDefault="0076713B" w:rsidP="00867B99">
            <w:pPr>
              <w:jc w:val="both"/>
              <w:rPr>
                <w:i/>
                <w:lang w:val="ro-RO"/>
              </w:rPr>
            </w:pPr>
            <w:r w:rsidRPr="00A955E0">
              <w:rPr>
                <w:i/>
                <w:lang w:val="ro-RO"/>
              </w:rPr>
              <w:t>*la verificarea implementării corecte a planului de afaceri, este necesar ca produsul să se regăsească în Registrul Naţional al Produselor Montane.</w:t>
            </w:r>
          </w:p>
        </w:tc>
        <w:tc>
          <w:tcPr>
            <w:tcW w:w="1276" w:type="dxa"/>
            <w:shd w:val="clear" w:color="auto" w:fill="auto"/>
            <w:vAlign w:val="center"/>
          </w:tcPr>
          <w:p w14:paraId="3042D567" w14:textId="77777777" w:rsidR="0076713B" w:rsidRPr="00A955E0" w:rsidRDefault="0076713B" w:rsidP="00867B99">
            <w:pPr>
              <w:jc w:val="both"/>
              <w:rPr>
                <w:lang w:val="ro-RO"/>
              </w:rPr>
            </w:pPr>
            <w:r w:rsidRPr="00A955E0">
              <w:rPr>
                <w:lang w:val="ro-RO"/>
              </w:rPr>
              <w:t>5 p</w:t>
            </w:r>
          </w:p>
        </w:tc>
      </w:tr>
      <w:tr w:rsidR="0076713B" w:rsidRPr="00A955E0" w14:paraId="407D5895" w14:textId="77777777" w:rsidTr="003D68F2">
        <w:trPr>
          <w:trHeight w:val="415"/>
        </w:trPr>
        <w:tc>
          <w:tcPr>
            <w:tcW w:w="675" w:type="dxa"/>
            <w:vMerge/>
            <w:shd w:val="clear" w:color="auto" w:fill="auto"/>
            <w:vAlign w:val="center"/>
          </w:tcPr>
          <w:p w14:paraId="4D551E81" w14:textId="77777777" w:rsidR="0076713B" w:rsidRPr="00A955E0" w:rsidRDefault="0076713B" w:rsidP="00867B99">
            <w:pPr>
              <w:jc w:val="both"/>
              <w:rPr>
                <w:lang w:val="ro-RO"/>
              </w:rPr>
            </w:pPr>
          </w:p>
        </w:tc>
        <w:tc>
          <w:tcPr>
            <w:tcW w:w="7938" w:type="dxa"/>
            <w:shd w:val="clear" w:color="auto" w:fill="auto"/>
            <w:vAlign w:val="center"/>
          </w:tcPr>
          <w:p w14:paraId="2BD28425" w14:textId="6A9E26F2" w:rsidR="0076713B" w:rsidRPr="00A955E0" w:rsidRDefault="0076713B" w:rsidP="00867B99">
            <w:pPr>
              <w:numPr>
                <w:ilvl w:val="0"/>
                <w:numId w:val="1"/>
              </w:numPr>
              <w:jc w:val="both"/>
              <w:rPr>
                <w:b/>
                <w:lang w:val="ro-RO"/>
              </w:rPr>
            </w:pPr>
            <w:r w:rsidRPr="00A955E0">
              <w:rPr>
                <w:b/>
                <w:lang w:val="ro-RO"/>
              </w:rPr>
              <w:t>care provin din exploataţii situate în zone HNV</w:t>
            </w:r>
          </w:p>
          <w:p w14:paraId="789F3210" w14:textId="62F2A420" w:rsidR="0076713B" w:rsidRPr="00A955E0" w:rsidRDefault="0076713B" w:rsidP="00867B99">
            <w:pPr>
              <w:jc w:val="both"/>
              <w:rPr>
                <w:i/>
                <w:lang w:val="ro-RO"/>
              </w:rPr>
            </w:pPr>
            <w:r w:rsidRPr="00A955E0">
              <w:rPr>
                <w:i/>
                <w:lang w:val="ro-RO"/>
              </w:rPr>
              <w:lastRenderedPageBreak/>
              <w:t xml:space="preserve">Punctajul se acordă grupurilor de producători care au în componență cel puțin un membru care obține și comercializează, prin intermediul grupului, cel puțin un produs din areale HNV. </w:t>
            </w:r>
            <w:r w:rsidRPr="00A955E0">
              <w:rPr>
                <w:i/>
                <w:iCs/>
                <w:lang w:val="ro-RO"/>
              </w:rPr>
              <w:t>Membrul/</w:t>
            </w:r>
            <w:r w:rsidRPr="00A955E0">
              <w:rPr>
                <w:i/>
                <w:lang w:val="ro-RO"/>
              </w:rPr>
              <w:t xml:space="preserve">membrii trebuie să dețină exploatație/ii agricole situate în areale HNV (se regăsesc în lista UAT‐urilor eligibile pentru pachetele 1 și 2 aferente măsurii 10 a PNDR, Anexa 4 a prezentului </w:t>
            </w:r>
            <w:r w:rsidR="00EB7E60" w:rsidRPr="00A955E0">
              <w:rPr>
                <w:i/>
                <w:lang w:val="ro-RO"/>
              </w:rPr>
              <w:t>g</w:t>
            </w:r>
            <w:r w:rsidRPr="00A955E0">
              <w:rPr>
                <w:i/>
                <w:lang w:val="ro-RO"/>
              </w:rPr>
              <w:t>hid). Comercializarea acestor produse va fi menționată la secțiunea Obiective suplimentare din Planul de afaceri.</w:t>
            </w:r>
          </w:p>
          <w:p w14:paraId="415EB5E5" w14:textId="4108964C" w:rsidR="0076713B" w:rsidRPr="00A955E0" w:rsidRDefault="0076713B" w:rsidP="00867B99">
            <w:pPr>
              <w:jc w:val="both"/>
              <w:rPr>
                <w:i/>
                <w:lang w:val="ro-RO"/>
              </w:rPr>
            </w:pPr>
            <w:r w:rsidRPr="00A955E0">
              <w:rPr>
                <w:i/>
                <w:lang w:val="ro-RO"/>
              </w:rPr>
              <w:t xml:space="preserve">În cazul criteriului 3.2, subcriteriile a), b) și c) nu se cumulează. Dacă un grup îndeplinește două sau toate cele trei subcriterii, se va acorda </w:t>
            </w:r>
            <w:r w:rsidRPr="00A955E0">
              <w:rPr>
                <w:b/>
                <w:i/>
                <w:lang w:val="ro-RO"/>
              </w:rPr>
              <w:t>punctajul superior</w:t>
            </w:r>
            <w:r w:rsidRPr="00A955E0">
              <w:rPr>
                <w:i/>
                <w:lang w:val="ro-RO"/>
              </w:rPr>
              <w:t xml:space="preserve"> aferent subcriteriului îndeplinit.</w:t>
            </w:r>
          </w:p>
          <w:p w14:paraId="6974F4A5" w14:textId="77777777" w:rsidR="0076713B" w:rsidRPr="00A955E0" w:rsidRDefault="0076713B" w:rsidP="00867B99">
            <w:pPr>
              <w:jc w:val="both"/>
              <w:rPr>
                <w:b/>
                <w:lang w:val="ro-RO"/>
              </w:rPr>
            </w:pPr>
            <w:r w:rsidRPr="00A955E0">
              <w:rPr>
                <w:b/>
                <w:i/>
                <w:lang w:val="ro-RO"/>
              </w:rPr>
              <w:t>Punctajul aferent criteriului 3.1 poate fi cumulat cu punctajele aferente criteriului 3.2, subcriteriile a)/b)/c).</w:t>
            </w:r>
          </w:p>
        </w:tc>
        <w:tc>
          <w:tcPr>
            <w:tcW w:w="1276" w:type="dxa"/>
            <w:shd w:val="clear" w:color="auto" w:fill="auto"/>
            <w:vAlign w:val="center"/>
          </w:tcPr>
          <w:p w14:paraId="46DA51B5" w14:textId="77777777" w:rsidR="0076713B" w:rsidRPr="00A955E0" w:rsidRDefault="0076713B" w:rsidP="00867B99">
            <w:pPr>
              <w:jc w:val="both"/>
              <w:rPr>
                <w:lang w:val="ro-RO"/>
              </w:rPr>
            </w:pPr>
            <w:r w:rsidRPr="00A955E0">
              <w:rPr>
                <w:lang w:val="ro-RO"/>
              </w:rPr>
              <w:lastRenderedPageBreak/>
              <w:t>3 p</w:t>
            </w:r>
          </w:p>
        </w:tc>
      </w:tr>
      <w:tr w:rsidR="0076713B" w:rsidRPr="00A955E0" w14:paraId="427EE6CB" w14:textId="77777777" w:rsidTr="003D68F2">
        <w:tc>
          <w:tcPr>
            <w:tcW w:w="675" w:type="dxa"/>
            <w:vMerge w:val="restart"/>
            <w:shd w:val="clear" w:color="auto" w:fill="auto"/>
          </w:tcPr>
          <w:p w14:paraId="23BC1F14" w14:textId="7C492CAC" w:rsidR="0076713B" w:rsidRPr="00A955E0" w:rsidRDefault="00513657" w:rsidP="00867B99">
            <w:pPr>
              <w:jc w:val="both"/>
              <w:rPr>
                <w:b/>
                <w:lang w:val="ro-RO"/>
              </w:rPr>
            </w:pPr>
            <w:r>
              <w:rPr>
                <w:b/>
                <w:lang w:val="ro-RO"/>
              </w:rPr>
              <w:t>P</w:t>
            </w:r>
            <w:r w:rsidR="0076713B" w:rsidRPr="00A955E0">
              <w:rPr>
                <w:b/>
                <w:lang w:val="ro-RO"/>
              </w:rPr>
              <w:t>4.</w:t>
            </w:r>
          </w:p>
        </w:tc>
        <w:tc>
          <w:tcPr>
            <w:tcW w:w="7938" w:type="dxa"/>
            <w:shd w:val="clear" w:color="auto" w:fill="FABF8F"/>
            <w:vAlign w:val="center"/>
          </w:tcPr>
          <w:p w14:paraId="0300F8AB" w14:textId="77777777" w:rsidR="0076713B" w:rsidRPr="00A955E0" w:rsidRDefault="0076713B" w:rsidP="00867B99">
            <w:pPr>
              <w:jc w:val="both"/>
              <w:rPr>
                <w:b/>
                <w:lang w:val="ro-RO"/>
              </w:rPr>
            </w:pPr>
            <w:r w:rsidRPr="00A955E0">
              <w:rPr>
                <w:b/>
                <w:lang w:val="ro-RO"/>
              </w:rPr>
              <w:t>Principiul sectorului prioritar (lapte de bovine, suine, legumicultură, plante tehnice, plante medicinale și aromatice)</w:t>
            </w:r>
          </w:p>
        </w:tc>
        <w:tc>
          <w:tcPr>
            <w:tcW w:w="1276" w:type="dxa"/>
            <w:shd w:val="clear" w:color="auto" w:fill="FABF8F"/>
            <w:vAlign w:val="center"/>
          </w:tcPr>
          <w:p w14:paraId="575066A7" w14:textId="77777777" w:rsidR="0076713B" w:rsidRPr="00A955E0" w:rsidRDefault="0076713B" w:rsidP="00867B99">
            <w:pPr>
              <w:jc w:val="both"/>
              <w:rPr>
                <w:b/>
                <w:lang w:val="ro-RO"/>
              </w:rPr>
            </w:pPr>
            <w:r w:rsidRPr="00A955E0">
              <w:rPr>
                <w:b/>
                <w:lang w:val="ro-RO"/>
              </w:rPr>
              <w:t>Max. 15 p</w:t>
            </w:r>
          </w:p>
        </w:tc>
      </w:tr>
      <w:tr w:rsidR="0076713B" w:rsidRPr="00A955E0" w14:paraId="06F8DC14" w14:textId="77777777" w:rsidTr="003D68F2">
        <w:trPr>
          <w:trHeight w:val="473"/>
        </w:trPr>
        <w:tc>
          <w:tcPr>
            <w:tcW w:w="675" w:type="dxa"/>
            <w:vMerge/>
            <w:shd w:val="clear" w:color="auto" w:fill="auto"/>
          </w:tcPr>
          <w:p w14:paraId="1968C73A" w14:textId="77777777" w:rsidR="0076713B" w:rsidRPr="00A955E0" w:rsidRDefault="0076713B" w:rsidP="00867B99">
            <w:pPr>
              <w:jc w:val="both"/>
              <w:rPr>
                <w:lang w:val="ro-RO"/>
              </w:rPr>
            </w:pPr>
          </w:p>
        </w:tc>
        <w:tc>
          <w:tcPr>
            <w:tcW w:w="7938" w:type="dxa"/>
            <w:shd w:val="clear" w:color="auto" w:fill="auto"/>
            <w:vAlign w:val="center"/>
          </w:tcPr>
          <w:p w14:paraId="63AFA880" w14:textId="77777777" w:rsidR="0076713B" w:rsidRPr="00A955E0" w:rsidRDefault="0076713B" w:rsidP="00867B99">
            <w:pPr>
              <w:jc w:val="both"/>
              <w:rPr>
                <w:lang w:val="ro-RO"/>
              </w:rPr>
            </w:pPr>
            <w:r w:rsidRPr="00A955E0">
              <w:rPr>
                <w:lang w:val="ro-RO"/>
              </w:rPr>
              <w:t>4.1. Grupul de producători este recunoscut pentru următoarele categorii de produse:</w:t>
            </w:r>
          </w:p>
        </w:tc>
        <w:tc>
          <w:tcPr>
            <w:tcW w:w="1276" w:type="dxa"/>
            <w:shd w:val="clear" w:color="auto" w:fill="auto"/>
            <w:vAlign w:val="center"/>
          </w:tcPr>
          <w:p w14:paraId="64E02BB0" w14:textId="77777777" w:rsidR="0076713B" w:rsidRPr="00A955E0" w:rsidRDefault="0076713B" w:rsidP="00867B99">
            <w:pPr>
              <w:jc w:val="both"/>
              <w:rPr>
                <w:lang w:val="ro-RO"/>
              </w:rPr>
            </w:pPr>
          </w:p>
        </w:tc>
      </w:tr>
      <w:tr w:rsidR="0076713B" w:rsidRPr="00A955E0" w14:paraId="38BA5E66" w14:textId="77777777" w:rsidTr="003D68F2">
        <w:trPr>
          <w:trHeight w:val="463"/>
        </w:trPr>
        <w:tc>
          <w:tcPr>
            <w:tcW w:w="675" w:type="dxa"/>
            <w:vMerge/>
            <w:shd w:val="clear" w:color="auto" w:fill="auto"/>
          </w:tcPr>
          <w:p w14:paraId="141F9647" w14:textId="77777777" w:rsidR="0076713B" w:rsidRPr="00A955E0" w:rsidRDefault="0076713B" w:rsidP="00867B99">
            <w:pPr>
              <w:jc w:val="both"/>
              <w:rPr>
                <w:lang w:val="ro-RO"/>
              </w:rPr>
            </w:pPr>
          </w:p>
        </w:tc>
        <w:tc>
          <w:tcPr>
            <w:tcW w:w="7938" w:type="dxa"/>
            <w:shd w:val="clear" w:color="auto" w:fill="auto"/>
            <w:vAlign w:val="center"/>
          </w:tcPr>
          <w:p w14:paraId="1AD4DF50" w14:textId="77777777" w:rsidR="0076713B" w:rsidRPr="00A955E0" w:rsidRDefault="0076713B" w:rsidP="00867B99">
            <w:pPr>
              <w:numPr>
                <w:ilvl w:val="0"/>
                <w:numId w:val="2"/>
              </w:numPr>
              <w:jc w:val="both"/>
              <w:rPr>
                <w:lang w:val="ro-RO"/>
              </w:rPr>
            </w:pPr>
            <w:r w:rsidRPr="00A955E0">
              <w:rPr>
                <w:lang w:val="ro-RO"/>
              </w:rPr>
              <w:t>lapte şi/sau produse din lapte de bovine (inclusiv bubaline)/legumicultură</w:t>
            </w:r>
          </w:p>
        </w:tc>
        <w:tc>
          <w:tcPr>
            <w:tcW w:w="1276" w:type="dxa"/>
            <w:shd w:val="clear" w:color="auto" w:fill="auto"/>
            <w:vAlign w:val="center"/>
          </w:tcPr>
          <w:p w14:paraId="7387B868" w14:textId="77777777" w:rsidR="0076713B" w:rsidRPr="00A955E0" w:rsidRDefault="0076713B" w:rsidP="00867B99">
            <w:pPr>
              <w:jc w:val="both"/>
              <w:rPr>
                <w:lang w:val="ro-RO"/>
              </w:rPr>
            </w:pPr>
            <w:r w:rsidRPr="00A955E0">
              <w:rPr>
                <w:lang w:val="ro-RO"/>
              </w:rPr>
              <w:t>15 p</w:t>
            </w:r>
          </w:p>
        </w:tc>
      </w:tr>
      <w:tr w:rsidR="0076713B" w:rsidRPr="00A955E0" w14:paraId="70E5D0E2" w14:textId="77777777" w:rsidTr="003D68F2">
        <w:trPr>
          <w:trHeight w:val="509"/>
        </w:trPr>
        <w:tc>
          <w:tcPr>
            <w:tcW w:w="675" w:type="dxa"/>
            <w:vMerge/>
            <w:shd w:val="clear" w:color="auto" w:fill="auto"/>
          </w:tcPr>
          <w:p w14:paraId="60C44931" w14:textId="77777777" w:rsidR="0076713B" w:rsidRPr="00A955E0" w:rsidRDefault="0076713B" w:rsidP="00867B99">
            <w:pPr>
              <w:jc w:val="both"/>
              <w:rPr>
                <w:lang w:val="ro-RO"/>
              </w:rPr>
            </w:pPr>
          </w:p>
        </w:tc>
        <w:tc>
          <w:tcPr>
            <w:tcW w:w="7938" w:type="dxa"/>
            <w:shd w:val="clear" w:color="auto" w:fill="auto"/>
            <w:vAlign w:val="center"/>
          </w:tcPr>
          <w:p w14:paraId="6538CA58" w14:textId="77777777" w:rsidR="0076713B" w:rsidRPr="00A955E0" w:rsidRDefault="0076713B" w:rsidP="00867B99">
            <w:pPr>
              <w:numPr>
                <w:ilvl w:val="0"/>
                <w:numId w:val="2"/>
              </w:numPr>
              <w:jc w:val="both"/>
              <w:rPr>
                <w:lang w:val="ro-RO"/>
              </w:rPr>
            </w:pPr>
            <w:r w:rsidRPr="00A955E0">
              <w:rPr>
                <w:lang w:val="ro-RO"/>
              </w:rPr>
              <w:t>carne şi produse din carne de porc/plante medicinale și aromatice</w:t>
            </w:r>
          </w:p>
        </w:tc>
        <w:tc>
          <w:tcPr>
            <w:tcW w:w="1276" w:type="dxa"/>
            <w:shd w:val="clear" w:color="auto" w:fill="auto"/>
            <w:vAlign w:val="center"/>
          </w:tcPr>
          <w:p w14:paraId="4EB7813D" w14:textId="77777777" w:rsidR="0076713B" w:rsidRPr="00A955E0" w:rsidRDefault="0076713B" w:rsidP="00867B99">
            <w:pPr>
              <w:jc w:val="both"/>
              <w:rPr>
                <w:lang w:val="ro-RO"/>
              </w:rPr>
            </w:pPr>
            <w:r w:rsidRPr="00A955E0">
              <w:rPr>
                <w:lang w:val="ro-RO"/>
              </w:rPr>
              <w:t>12 p</w:t>
            </w:r>
          </w:p>
        </w:tc>
      </w:tr>
      <w:tr w:rsidR="0076713B" w:rsidRPr="00A955E0" w14:paraId="168DF0ED" w14:textId="77777777" w:rsidTr="003D68F2">
        <w:trPr>
          <w:trHeight w:hRule="exact" w:val="445"/>
        </w:trPr>
        <w:tc>
          <w:tcPr>
            <w:tcW w:w="675" w:type="dxa"/>
            <w:vMerge/>
            <w:shd w:val="clear" w:color="auto" w:fill="auto"/>
          </w:tcPr>
          <w:p w14:paraId="3B8B5222" w14:textId="77777777" w:rsidR="0076713B" w:rsidRPr="00A955E0" w:rsidRDefault="0076713B" w:rsidP="00867B99">
            <w:pPr>
              <w:jc w:val="both"/>
              <w:rPr>
                <w:lang w:val="ro-RO"/>
              </w:rPr>
            </w:pPr>
          </w:p>
        </w:tc>
        <w:tc>
          <w:tcPr>
            <w:tcW w:w="7938" w:type="dxa"/>
            <w:shd w:val="clear" w:color="auto" w:fill="auto"/>
            <w:vAlign w:val="center"/>
          </w:tcPr>
          <w:p w14:paraId="6ADAA8B5" w14:textId="51F8772D" w:rsidR="0076713B" w:rsidRPr="00A955E0" w:rsidRDefault="0076713B" w:rsidP="00C83E69">
            <w:pPr>
              <w:numPr>
                <w:ilvl w:val="0"/>
                <w:numId w:val="2"/>
              </w:numPr>
              <w:jc w:val="both"/>
              <w:rPr>
                <w:lang w:val="ro-RO"/>
              </w:rPr>
            </w:pPr>
            <w:r w:rsidRPr="00A955E0">
              <w:rPr>
                <w:lang w:val="ro-RO"/>
              </w:rPr>
              <w:t>plante tehnice (</w:t>
            </w:r>
            <w:hyperlink r:id="rId8" w:history="1">
              <w:r w:rsidRPr="00A955E0">
                <w:rPr>
                  <w:rStyle w:val="Hyperlink"/>
                  <w:color w:val="auto"/>
                  <w:u w:val="none"/>
                  <w:lang w:val="ro-RO"/>
                </w:rPr>
                <w:t>sfecla de zahăr</w:t>
              </w:r>
            </w:hyperlink>
            <w:r w:rsidRPr="00A955E0">
              <w:rPr>
                <w:lang w:val="ro-RO"/>
              </w:rPr>
              <w:t>, in, cânepă, hamei, soia)</w:t>
            </w:r>
          </w:p>
        </w:tc>
        <w:tc>
          <w:tcPr>
            <w:tcW w:w="1276" w:type="dxa"/>
            <w:shd w:val="clear" w:color="auto" w:fill="auto"/>
            <w:vAlign w:val="center"/>
          </w:tcPr>
          <w:p w14:paraId="61871718" w14:textId="77777777" w:rsidR="0076713B" w:rsidRPr="00A955E0" w:rsidRDefault="0076713B" w:rsidP="00867B99">
            <w:pPr>
              <w:jc w:val="both"/>
              <w:rPr>
                <w:lang w:val="ro-RO"/>
              </w:rPr>
            </w:pPr>
            <w:r w:rsidRPr="00A955E0">
              <w:rPr>
                <w:lang w:val="ro-RO"/>
              </w:rPr>
              <w:t>9 p</w:t>
            </w:r>
          </w:p>
        </w:tc>
      </w:tr>
      <w:tr w:rsidR="0076713B" w:rsidRPr="00A955E0" w14:paraId="0967FED8" w14:textId="77777777" w:rsidTr="003D68F2">
        <w:trPr>
          <w:trHeight w:hRule="exact" w:val="4115"/>
        </w:trPr>
        <w:tc>
          <w:tcPr>
            <w:tcW w:w="8613" w:type="dxa"/>
            <w:gridSpan w:val="2"/>
            <w:shd w:val="clear" w:color="auto" w:fill="auto"/>
          </w:tcPr>
          <w:p w14:paraId="5E607B94" w14:textId="77777777" w:rsidR="0076713B" w:rsidRPr="00A955E0" w:rsidRDefault="0076713B" w:rsidP="00867B99">
            <w:pPr>
              <w:jc w:val="both"/>
              <w:rPr>
                <w:i/>
                <w:lang w:val="ro-RO"/>
              </w:rPr>
            </w:pPr>
            <w:r w:rsidRPr="00A955E0">
              <w:rPr>
                <w:i/>
                <w:lang w:val="ro-RO"/>
              </w:rPr>
              <w:t>În cazul legumiculturii (CS 4.1a), se punctează atât cultura obținută în câmp/grădină destinată comercializării, cât și cea din spații protejate, inclusiv ciupercăriile din spaţiile climatizate, culturile de cartofi și ciupercile de cultură.</w:t>
            </w:r>
          </w:p>
          <w:p w14:paraId="3671C18C" w14:textId="77777777" w:rsidR="0076713B" w:rsidRPr="00A955E0" w:rsidRDefault="0076713B" w:rsidP="00867B99">
            <w:pPr>
              <w:jc w:val="both"/>
              <w:rPr>
                <w:i/>
                <w:lang w:val="ro-RO"/>
              </w:rPr>
            </w:pPr>
            <w:r w:rsidRPr="00A955E0">
              <w:rPr>
                <w:i/>
                <w:lang w:val="ro-RO"/>
              </w:rPr>
              <w:t>În cazul culturilor de in și cânepă, se punctează atât culturile textile, cât și cele pentru obținerea de ulei.</w:t>
            </w:r>
          </w:p>
          <w:p w14:paraId="31BABF9C" w14:textId="0CCA19A9" w:rsidR="0076713B" w:rsidRPr="00A955E0" w:rsidRDefault="0076713B" w:rsidP="00867B99">
            <w:pPr>
              <w:jc w:val="both"/>
              <w:rPr>
                <w:i/>
                <w:lang w:val="ro-RO"/>
              </w:rPr>
            </w:pPr>
            <w:r w:rsidRPr="00A955E0">
              <w:rPr>
                <w:i/>
                <w:lang w:val="ro-RO"/>
              </w:rPr>
              <w:t>Se acordă punctaj în funcție de produsul/produsele/grupa/grupele de produse pentru care GP este recunoscut. În cazul în care grupul de producători este recunoscut pentru mai mult de un produs/grupă de produse menționate în cadrul criteriului, se va lua în calcul punctajul aferent produsului/grupei de produse dominant (evidențiat ca valoare în total valoare producție comercializată).</w:t>
            </w:r>
            <w:r w:rsidR="00541D94" w:rsidRPr="00A955E0">
              <w:rPr>
                <w:i/>
                <w:lang w:val="ro-RO"/>
              </w:rPr>
              <w:t xml:space="preserve"> </w:t>
            </w:r>
            <w:r w:rsidRPr="00A955E0">
              <w:rPr>
                <w:b/>
                <w:i/>
                <w:lang w:val="ro-RO"/>
              </w:rPr>
              <w:t>Punctajele celor trei subcriterii a, b sau c nu se cumulează.</w:t>
            </w:r>
            <w:r w:rsidRPr="00A955E0">
              <w:rPr>
                <w:i/>
                <w:lang w:val="ro-RO"/>
              </w:rPr>
              <w:t xml:space="preserve"> Dacă un grup îndeplinește două sau toate cele trei subcriterii aferente criteriului 4.1, se va acorda </w:t>
            </w:r>
            <w:r w:rsidRPr="00A955E0">
              <w:rPr>
                <w:b/>
                <w:i/>
                <w:lang w:val="ro-RO"/>
              </w:rPr>
              <w:t>punctajul superior</w:t>
            </w:r>
            <w:r w:rsidRPr="00A955E0">
              <w:rPr>
                <w:i/>
                <w:lang w:val="ro-RO"/>
              </w:rPr>
              <w:t xml:space="preserve"> aferent subcriteriului îndeplinit.</w:t>
            </w:r>
          </w:p>
          <w:p w14:paraId="40472DC7" w14:textId="05B40CC7" w:rsidR="00541D94" w:rsidRPr="00A955E0" w:rsidRDefault="00541D94" w:rsidP="00867B99">
            <w:pPr>
              <w:jc w:val="both"/>
              <w:rPr>
                <w:i/>
                <w:lang w:val="ro-RO"/>
              </w:rPr>
            </w:pPr>
          </w:p>
          <w:p w14:paraId="675AEDD5" w14:textId="77777777" w:rsidR="00541D94" w:rsidRPr="00A955E0" w:rsidRDefault="00541D94" w:rsidP="00867B99">
            <w:pPr>
              <w:jc w:val="both"/>
              <w:rPr>
                <w:i/>
                <w:lang w:val="ro-RO"/>
              </w:rPr>
            </w:pPr>
          </w:p>
          <w:p w14:paraId="0B3BDC25" w14:textId="12791D22" w:rsidR="00541D94" w:rsidRPr="00A955E0" w:rsidRDefault="00541D94" w:rsidP="00867B99">
            <w:pPr>
              <w:jc w:val="both"/>
              <w:rPr>
                <w:i/>
                <w:lang w:val="ro-RO"/>
              </w:rPr>
            </w:pPr>
          </w:p>
          <w:p w14:paraId="4B5F62D7" w14:textId="77777777" w:rsidR="00541D94" w:rsidRPr="00A955E0" w:rsidRDefault="00541D94" w:rsidP="00867B99">
            <w:pPr>
              <w:jc w:val="both"/>
              <w:rPr>
                <w:i/>
                <w:lang w:val="ro-RO"/>
              </w:rPr>
            </w:pPr>
          </w:p>
          <w:p w14:paraId="6455A23B" w14:textId="77777777" w:rsidR="0076713B" w:rsidRPr="00A955E0" w:rsidRDefault="0076713B" w:rsidP="00867B99">
            <w:pPr>
              <w:jc w:val="both"/>
              <w:rPr>
                <w:lang w:val="ro-RO"/>
              </w:rPr>
            </w:pPr>
          </w:p>
        </w:tc>
        <w:tc>
          <w:tcPr>
            <w:tcW w:w="1276" w:type="dxa"/>
            <w:shd w:val="clear" w:color="auto" w:fill="auto"/>
            <w:vAlign w:val="center"/>
          </w:tcPr>
          <w:p w14:paraId="3A21D9F2" w14:textId="77777777" w:rsidR="0076713B" w:rsidRPr="00A955E0" w:rsidRDefault="0076713B" w:rsidP="00867B99">
            <w:pPr>
              <w:jc w:val="both"/>
              <w:rPr>
                <w:lang w:val="ro-RO"/>
              </w:rPr>
            </w:pPr>
          </w:p>
          <w:p w14:paraId="50A455F0" w14:textId="77777777" w:rsidR="00541D94" w:rsidRPr="00A955E0" w:rsidRDefault="00541D94" w:rsidP="00867B99">
            <w:pPr>
              <w:jc w:val="both"/>
              <w:rPr>
                <w:lang w:val="ro-RO"/>
              </w:rPr>
            </w:pPr>
          </w:p>
          <w:p w14:paraId="4A88FD5A" w14:textId="77777777" w:rsidR="00541D94" w:rsidRPr="00A955E0" w:rsidRDefault="00541D94" w:rsidP="00867B99">
            <w:pPr>
              <w:jc w:val="both"/>
              <w:rPr>
                <w:lang w:val="ro-RO"/>
              </w:rPr>
            </w:pPr>
          </w:p>
          <w:p w14:paraId="479A7EC5" w14:textId="77777777" w:rsidR="00541D94" w:rsidRPr="00A955E0" w:rsidRDefault="00541D94" w:rsidP="00867B99">
            <w:pPr>
              <w:jc w:val="both"/>
              <w:rPr>
                <w:lang w:val="ro-RO"/>
              </w:rPr>
            </w:pPr>
          </w:p>
          <w:p w14:paraId="0C7ADDA1" w14:textId="77777777" w:rsidR="00541D94" w:rsidRPr="00A955E0" w:rsidRDefault="00541D94" w:rsidP="00867B99">
            <w:pPr>
              <w:jc w:val="both"/>
              <w:rPr>
                <w:lang w:val="ro-RO"/>
              </w:rPr>
            </w:pPr>
          </w:p>
          <w:p w14:paraId="5528AE85" w14:textId="77777777" w:rsidR="00541D94" w:rsidRPr="00A955E0" w:rsidRDefault="00541D94" w:rsidP="00867B99">
            <w:pPr>
              <w:jc w:val="both"/>
              <w:rPr>
                <w:lang w:val="ro-RO"/>
              </w:rPr>
            </w:pPr>
          </w:p>
          <w:p w14:paraId="0CD28208" w14:textId="77777777" w:rsidR="00541D94" w:rsidRPr="00A955E0" w:rsidRDefault="00541D94" w:rsidP="00867B99">
            <w:pPr>
              <w:jc w:val="both"/>
              <w:rPr>
                <w:lang w:val="ro-RO"/>
              </w:rPr>
            </w:pPr>
          </w:p>
          <w:p w14:paraId="79E15202" w14:textId="77777777" w:rsidR="00541D94" w:rsidRPr="00A955E0" w:rsidRDefault="00541D94" w:rsidP="00867B99">
            <w:pPr>
              <w:jc w:val="both"/>
              <w:rPr>
                <w:lang w:val="ro-RO"/>
              </w:rPr>
            </w:pPr>
          </w:p>
          <w:p w14:paraId="238C7C72" w14:textId="77777777" w:rsidR="00541D94" w:rsidRPr="00A955E0" w:rsidRDefault="00541D94" w:rsidP="00867B99">
            <w:pPr>
              <w:jc w:val="both"/>
              <w:rPr>
                <w:lang w:val="ro-RO"/>
              </w:rPr>
            </w:pPr>
          </w:p>
          <w:p w14:paraId="08C8BB21" w14:textId="77777777" w:rsidR="00541D94" w:rsidRPr="00A955E0" w:rsidRDefault="00541D94" w:rsidP="00867B99">
            <w:pPr>
              <w:jc w:val="both"/>
              <w:rPr>
                <w:lang w:val="ro-RO"/>
              </w:rPr>
            </w:pPr>
          </w:p>
          <w:p w14:paraId="443D941D" w14:textId="5F8EEA8B" w:rsidR="00541D94" w:rsidRPr="00A955E0" w:rsidRDefault="00541D94" w:rsidP="00867B99">
            <w:pPr>
              <w:jc w:val="both"/>
              <w:rPr>
                <w:lang w:val="ro-RO"/>
              </w:rPr>
            </w:pPr>
          </w:p>
        </w:tc>
      </w:tr>
      <w:tr w:rsidR="0076713B" w:rsidRPr="00A955E0" w14:paraId="0B59E384" w14:textId="77777777" w:rsidTr="003D68F2">
        <w:trPr>
          <w:trHeight w:val="473"/>
        </w:trPr>
        <w:tc>
          <w:tcPr>
            <w:tcW w:w="675" w:type="dxa"/>
            <w:vMerge w:val="restart"/>
            <w:shd w:val="clear" w:color="auto" w:fill="auto"/>
          </w:tcPr>
          <w:p w14:paraId="75A863EE" w14:textId="1E43ADB6" w:rsidR="0076713B" w:rsidRPr="00A955E0" w:rsidRDefault="00513657" w:rsidP="00867B99">
            <w:pPr>
              <w:jc w:val="both"/>
              <w:rPr>
                <w:b/>
                <w:lang w:val="ro-RO"/>
              </w:rPr>
            </w:pPr>
            <w:r>
              <w:rPr>
                <w:b/>
                <w:lang w:val="ro-RO"/>
              </w:rPr>
              <w:t>P</w:t>
            </w:r>
            <w:r w:rsidR="0076713B" w:rsidRPr="00A955E0">
              <w:rPr>
                <w:b/>
                <w:lang w:val="ro-RO"/>
              </w:rPr>
              <w:t>5.</w:t>
            </w:r>
          </w:p>
        </w:tc>
        <w:tc>
          <w:tcPr>
            <w:tcW w:w="7938" w:type="dxa"/>
            <w:shd w:val="clear" w:color="auto" w:fill="FABF8F"/>
            <w:vAlign w:val="center"/>
          </w:tcPr>
          <w:p w14:paraId="580E9BE5" w14:textId="77777777" w:rsidR="0076713B" w:rsidRPr="00A955E0" w:rsidRDefault="0076713B" w:rsidP="00867B99">
            <w:pPr>
              <w:jc w:val="both"/>
              <w:rPr>
                <w:b/>
                <w:lang w:val="ro-RO"/>
              </w:rPr>
            </w:pPr>
            <w:r w:rsidRPr="00A955E0">
              <w:rPr>
                <w:b/>
                <w:lang w:val="ro-RO"/>
              </w:rPr>
              <w:t>Principiul asocierii exploatațiilor de mici dimensiuni</w:t>
            </w:r>
          </w:p>
        </w:tc>
        <w:tc>
          <w:tcPr>
            <w:tcW w:w="1276" w:type="dxa"/>
            <w:shd w:val="clear" w:color="auto" w:fill="FABF8F"/>
            <w:vAlign w:val="center"/>
          </w:tcPr>
          <w:p w14:paraId="437F728A" w14:textId="77777777" w:rsidR="0076713B" w:rsidRPr="00A955E0" w:rsidRDefault="0076713B" w:rsidP="00867B99">
            <w:pPr>
              <w:jc w:val="both"/>
              <w:rPr>
                <w:b/>
                <w:lang w:val="ro-RO"/>
              </w:rPr>
            </w:pPr>
            <w:r w:rsidRPr="00A955E0">
              <w:rPr>
                <w:b/>
                <w:lang w:val="ro-RO"/>
              </w:rPr>
              <w:t>Max. 20 p</w:t>
            </w:r>
          </w:p>
        </w:tc>
      </w:tr>
      <w:tr w:rsidR="0076713B" w:rsidRPr="00A955E0" w14:paraId="297BABC5" w14:textId="77777777" w:rsidTr="003D68F2">
        <w:trPr>
          <w:trHeight w:val="473"/>
        </w:trPr>
        <w:tc>
          <w:tcPr>
            <w:tcW w:w="675" w:type="dxa"/>
            <w:vMerge/>
            <w:shd w:val="clear" w:color="auto" w:fill="auto"/>
            <w:vAlign w:val="center"/>
          </w:tcPr>
          <w:p w14:paraId="1279E818" w14:textId="77777777" w:rsidR="0076713B" w:rsidRPr="00A955E0" w:rsidRDefault="0076713B" w:rsidP="00867B99">
            <w:pPr>
              <w:jc w:val="both"/>
              <w:rPr>
                <w:lang w:val="ro-RO"/>
              </w:rPr>
            </w:pPr>
          </w:p>
        </w:tc>
        <w:tc>
          <w:tcPr>
            <w:tcW w:w="7938" w:type="dxa"/>
            <w:shd w:val="clear" w:color="auto" w:fill="auto"/>
            <w:vAlign w:val="center"/>
          </w:tcPr>
          <w:p w14:paraId="69C9897A" w14:textId="79AA7FCE" w:rsidR="0076713B" w:rsidRPr="00A955E0" w:rsidRDefault="00AE51CC" w:rsidP="00AE51CC">
            <w:pPr>
              <w:jc w:val="both"/>
              <w:rPr>
                <w:lang w:val="ro-RO"/>
              </w:rPr>
            </w:pPr>
            <w:r>
              <w:rPr>
                <w:lang w:val="ro-RO"/>
              </w:rPr>
              <w:t xml:space="preserve">5.1. </w:t>
            </w:r>
            <w:proofErr w:type="spellStart"/>
            <w:r>
              <w:rPr>
                <w:lang w:val="ro-RO"/>
              </w:rPr>
              <w:t>Exploataţiile</w:t>
            </w:r>
            <w:proofErr w:type="spellEnd"/>
            <w:r>
              <w:rPr>
                <w:lang w:val="ro-RO"/>
              </w:rPr>
              <w:t xml:space="preserve"> membrilor</w:t>
            </w:r>
            <w:r w:rsidRPr="00AE51CC">
              <w:rPr>
                <w:lang w:val="ro-RO"/>
              </w:rPr>
              <w:t xml:space="preserve"> </w:t>
            </w:r>
            <w:r w:rsidR="0076713B" w:rsidRPr="00A955E0">
              <w:rPr>
                <w:lang w:val="ro-RO"/>
              </w:rPr>
              <w:t>grupului de producători au dimensiuni cuprinse între:</w:t>
            </w:r>
          </w:p>
        </w:tc>
        <w:tc>
          <w:tcPr>
            <w:tcW w:w="1276" w:type="dxa"/>
            <w:shd w:val="clear" w:color="auto" w:fill="auto"/>
            <w:vAlign w:val="center"/>
          </w:tcPr>
          <w:p w14:paraId="73AC0654" w14:textId="77777777" w:rsidR="0076713B" w:rsidRPr="00A955E0" w:rsidRDefault="0076713B" w:rsidP="00867B99">
            <w:pPr>
              <w:jc w:val="both"/>
              <w:rPr>
                <w:b/>
                <w:lang w:val="ro-RO"/>
              </w:rPr>
            </w:pPr>
          </w:p>
        </w:tc>
      </w:tr>
      <w:tr w:rsidR="0076713B" w:rsidRPr="00A955E0" w14:paraId="64E66B72" w14:textId="77777777" w:rsidTr="00F7459A">
        <w:trPr>
          <w:trHeight w:val="350"/>
        </w:trPr>
        <w:tc>
          <w:tcPr>
            <w:tcW w:w="675" w:type="dxa"/>
            <w:vMerge/>
            <w:shd w:val="clear" w:color="auto" w:fill="auto"/>
            <w:vAlign w:val="center"/>
          </w:tcPr>
          <w:p w14:paraId="087963BC" w14:textId="77777777" w:rsidR="0076713B" w:rsidRPr="00A955E0" w:rsidRDefault="0076713B" w:rsidP="00867B99">
            <w:pPr>
              <w:jc w:val="both"/>
              <w:rPr>
                <w:lang w:val="ro-RO"/>
              </w:rPr>
            </w:pPr>
          </w:p>
        </w:tc>
        <w:tc>
          <w:tcPr>
            <w:tcW w:w="7938" w:type="dxa"/>
            <w:shd w:val="clear" w:color="auto" w:fill="auto"/>
            <w:vAlign w:val="center"/>
          </w:tcPr>
          <w:p w14:paraId="33F3DB7F" w14:textId="77777777" w:rsidR="0076713B" w:rsidRPr="00A955E0" w:rsidRDefault="0076713B" w:rsidP="00867B99">
            <w:pPr>
              <w:numPr>
                <w:ilvl w:val="0"/>
                <w:numId w:val="3"/>
              </w:numPr>
              <w:jc w:val="both"/>
              <w:rPr>
                <w:lang w:val="ro-RO"/>
              </w:rPr>
            </w:pPr>
            <w:r w:rsidRPr="00A955E0">
              <w:rPr>
                <w:lang w:val="ro-RO"/>
              </w:rPr>
              <w:t>1.000 –11 999 euro SO</w:t>
            </w:r>
          </w:p>
        </w:tc>
        <w:tc>
          <w:tcPr>
            <w:tcW w:w="1276" w:type="dxa"/>
            <w:shd w:val="clear" w:color="auto" w:fill="auto"/>
            <w:vAlign w:val="center"/>
          </w:tcPr>
          <w:p w14:paraId="2D385375" w14:textId="77777777" w:rsidR="0076713B" w:rsidRPr="00A955E0" w:rsidRDefault="0076713B" w:rsidP="00867B99">
            <w:pPr>
              <w:jc w:val="both"/>
              <w:rPr>
                <w:lang w:val="ro-RO"/>
              </w:rPr>
            </w:pPr>
            <w:r w:rsidRPr="00A955E0">
              <w:rPr>
                <w:lang w:val="ro-RO"/>
              </w:rPr>
              <w:t>20 p</w:t>
            </w:r>
          </w:p>
        </w:tc>
      </w:tr>
      <w:tr w:rsidR="0076713B" w:rsidRPr="00A955E0" w14:paraId="01E7149F" w14:textId="77777777" w:rsidTr="00F7459A">
        <w:trPr>
          <w:trHeight w:val="404"/>
        </w:trPr>
        <w:tc>
          <w:tcPr>
            <w:tcW w:w="675" w:type="dxa"/>
            <w:vMerge/>
            <w:shd w:val="clear" w:color="auto" w:fill="auto"/>
            <w:vAlign w:val="center"/>
          </w:tcPr>
          <w:p w14:paraId="76B4DA3D" w14:textId="77777777" w:rsidR="0076713B" w:rsidRPr="00A955E0" w:rsidRDefault="0076713B" w:rsidP="00867B99">
            <w:pPr>
              <w:jc w:val="both"/>
              <w:rPr>
                <w:lang w:val="ro-RO"/>
              </w:rPr>
            </w:pPr>
          </w:p>
        </w:tc>
        <w:tc>
          <w:tcPr>
            <w:tcW w:w="7938" w:type="dxa"/>
            <w:shd w:val="clear" w:color="auto" w:fill="auto"/>
            <w:vAlign w:val="center"/>
          </w:tcPr>
          <w:p w14:paraId="1991A991" w14:textId="32A895CF" w:rsidR="0076713B" w:rsidRPr="00A955E0" w:rsidRDefault="00541D94" w:rsidP="00867B99">
            <w:pPr>
              <w:numPr>
                <w:ilvl w:val="0"/>
                <w:numId w:val="3"/>
              </w:numPr>
              <w:jc w:val="both"/>
              <w:rPr>
                <w:lang w:val="ro-RO"/>
              </w:rPr>
            </w:pPr>
            <w:r w:rsidRPr="00A955E0">
              <w:rPr>
                <w:lang w:val="ro-RO"/>
              </w:rPr>
              <w:t>12.000 – 50.000 euro SO</w:t>
            </w:r>
          </w:p>
        </w:tc>
        <w:tc>
          <w:tcPr>
            <w:tcW w:w="1276" w:type="dxa"/>
            <w:shd w:val="clear" w:color="auto" w:fill="auto"/>
            <w:vAlign w:val="center"/>
          </w:tcPr>
          <w:p w14:paraId="4AA04796" w14:textId="556EA4EC" w:rsidR="0076713B" w:rsidRPr="00A955E0" w:rsidRDefault="0076713B" w:rsidP="00867B99">
            <w:pPr>
              <w:jc w:val="both"/>
              <w:rPr>
                <w:lang w:val="ro-RO"/>
              </w:rPr>
            </w:pPr>
            <w:r w:rsidRPr="00A955E0">
              <w:rPr>
                <w:lang w:val="ro-RO"/>
              </w:rPr>
              <w:t>15 p</w:t>
            </w:r>
          </w:p>
        </w:tc>
      </w:tr>
      <w:tr w:rsidR="0076713B" w:rsidRPr="00A955E0" w14:paraId="085A40A0" w14:textId="77777777" w:rsidTr="00F7459A">
        <w:trPr>
          <w:trHeight w:val="368"/>
        </w:trPr>
        <w:tc>
          <w:tcPr>
            <w:tcW w:w="675" w:type="dxa"/>
            <w:vMerge/>
            <w:shd w:val="clear" w:color="auto" w:fill="auto"/>
            <w:vAlign w:val="center"/>
          </w:tcPr>
          <w:p w14:paraId="190EC40C" w14:textId="77777777" w:rsidR="0076713B" w:rsidRPr="00A955E0" w:rsidRDefault="0076713B" w:rsidP="00867B99">
            <w:pPr>
              <w:jc w:val="both"/>
              <w:rPr>
                <w:lang w:val="ro-RO"/>
              </w:rPr>
            </w:pPr>
          </w:p>
        </w:tc>
        <w:tc>
          <w:tcPr>
            <w:tcW w:w="7938" w:type="dxa"/>
            <w:shd w:val="clear" w:color="auto" w:fill="auto"/>
            <w:vAlign w:val="center"/>
          </w:tcPr>
          <w:p w14:paraId="6683C13F" w14:textId="77777777" w:rsidR="0076713B" w:rsidRPr="00A955E0" w:rsidDel="00704FE1" w:rsidRDefault="0076713B" w:rsidP="00867B99">
            <w:pPr>
              <w:numPr>
                <w:ilvl w:val="0"/>
                <w:numId w:val="3"/>
              </w:numPr>
              <w:jc w:val="both"/>
              <w:rPr>
                <w:lang w:val="ro-RO"/>
              </w:rPr>
            </w:pPr>
            <w:r w:rsidRPr="00A955E0">
              <w:rPr>
                <w:lang w:val="ro-RO"/>
              </w:rPr>
              <w:t>50.001 – 100.000 euro SO</w:t>
            </w:r>
          </w:p>
        </w:tc>
        <w:tc>
          <w:tcPr>
            <w:tcW w:w="1276" w:type="dxa"/>
            <w:shd w:val="clear" w:color="auto" w:fill="auto"/>
            <w:vAlign w:val="center"/>
          </w:tcPr>
          <w:p w14:paraId="67998A44" w14:textId="77777777" w:rsidR="0076713B" w:rsidRPr="00A955E0" w:rsidRDefault="0076713B" w:rsidP="00867B99">
            <w:pPr>
              <w:jc w:val="both"/>
              <w:rPr>
                <w:lang w:val="ro-RO"/>
              </w:rPr>
            </w:pPr>
            <w:r w:rsidRPr="00A955E0">
              <w:rPr>
                <w:lang w:val="ro-RO"/>
              </w:rPr>
              <w:t>10 p</w:t>
            </w:r>
          </w:p>
        </w:tc>
      </w:tr>
      <w:tr w:rsidR="001F3A63" w:rsidRPr="00A955E0" w14:paraId="133089AE" w14:textId="77777777" w:rsidTr="003D68F2">
        <w:trPr>
          <w:trHeight w:val="260"/>
        </w:trPr>
        <w:tc>
          <w:tcPr>
            <w:tcW w:w="675" w:type="dxa"/>
            <w:shd w:val="clear" w:color="auto" w:fill="auto"/>
            <w:vAlign w:val="center"/>
          </w:tcPr>
          <w:p w14:paraId="24D35C8D" w14:textId="77777777" w:rsidR="001F3A63" w:rsidRPr="00A955E0" w:rsidRDefault="001F3A63" w:rsidP="00867B99">
            <w:pPr>
              <w:jc w:val="both"/>
              <w:rPr>
                <w:lang w:val="ro-RO"/>
              </w:rPr>
            </w:pPr>
          </w:p>
        </w:tc>
        <w:tc>
          <w:tcPr>
            <w:tcW w:w="7938" w:type="dxa"/>
            <w:shd w:val="clear" w:color="auto" w:fill="auto"/>
            <w:vAlign w:val="center"/>
          </w:tcPr>
          <w:p w14:paraId="5B925048" w14:textId="4AE2B008" w:rsidR="001F3A63" w:rsidRPr="00A955E0" w:rsidRDefault="00AE51CC" w:rsidP="00867B99">
            <w:pPr>
              <w:numPr>
                <w:ilvl w:val="0"/>
                <w:numId w:val="3"/>
              </w:numPr>
              <w:jc w:val="both"/>
              <w:rPr>
                <w:lang w:val="ro-RO"/>
              </w:rPr>
            </w:pPr>
            <w:r w:rsidRPr="00AE51CC">
              <w:rPr>
                <w:lang w:val="ro-RO"/>
              </w:rPr>
              <w:t>100.001-250.000 euro SO</w:t>
            </w:r>
          </w:p>
        </w:tc>
        <w:tc>
          <w:tcPr>
            <w:tcW w:w="1276" w:type="dxa"/>
            <w:shd w:val="clear" w:color="auto" w:fill="auto"/>
            <w:vAlign w:val="center"/>
          </w:tcPr>
          <w:p w14:paraId="171EC9CD" w14:textId="18346B21" w:rsidR="001F3A63" w:rsidRPr="00A955E0" w:rsidRDefault="00AE51CC" w:rsidP="00867B99">
            <w:pPr>
              <w:jc w:val="both"/>
              <w:rPr>
                <w:lang w:val="ro-RO"/>
              </w:rPr>
            </w:pPr>
            <w:r w:rsidRPr="00AE51CC">
              <w:rPr>
                <w:lang w:val="ro-RO"/>
              </w:rPr>
              <w:t>5 p</w:t>
            </w:r>
          </w:p>
        </w:tc>
      </w:tr>
      <w:tr w:rsidR="0076713B" w:rsidRPr="00A955E0" w14:paraId="16E9A1AA" w14:textId="77777777" w:rsidTr="003D68F2">
        <w:trPr>
          <w:trHeight w:val="440"/>
        </w:trPr>
        <w:tc>
          <w:tcPr>
            <w:tcW w:w="9889" w:type="dxa"/>
            <w:gridSpan w:val="3"/>
            <w:shd w:val="clear" w:color="auto" w:fill="auto"/>
            <w:vAlign w:val="center"/>
          </w:tcPr>
          <w:p w14:paraId="096DFF83" w14:textId="22ADE2EB" w:rsidR="0076713B" w:rsidRPr="00A955E0" w:rsidRDefault="0076713B" w:rsidP="00867B99">
            <w:pPr>
              <w:jc w:val="both"/>
              <w:rPr>
                <w:i/>
                <w:lang w:val="ro-RO"/>
              </w:rPr>
            </w:pPr>
            <w:r w:rsidRPr="00A955E0">
              <w:rPr>
                <w:i/>
                <w:lang w:val="ro-RO"/>
              </w:rPr>
              <w:t>Punctajul se acordă proporțional cu numărul de membri care se încadrează cu exploatațiile agricole gestionate în intervalul de dimensiune economică aferent criteriului de selecție a), b)</w:t>
            </w:r>
            <w:r w:rsidR="00D25C0D">
              <w:rPr>
                <w:i/>
                <w:lang w:val="ro-RO"/>
              </w:rPr>
              <w:t>,</w:t>
            </w:r>
            <w:r w:rsidRPr="00A955E0">
              <w:rPr>
                <w:i/>
                <w:lang w:val="ro-RO"/>
              </w:rPr>
              <w:t xml:space="preserve"> c)</w:t>
            </w:r>
            <w:r w:rsidR="00D25C0D">
              <w:rPr>
                <w:i/>
                <w:lang w:val="ro-RO"/>
              </w:rPr>
              <w:t xml:space="preserve"> și d)</w:t>
            </w:r>
            <w:r w:rsidRPr="00A955E0">
              <w:rPr>
                <w:i/>
                <w:lang w:val="ro-RO"/>
              </w:rPr>
              <w:t xml:space="preserve">. Punctajele celor </w:t>
            </w:r>
            <w:r w:rsidR="00D25C0D">
              <w:rPr>
                <w:i/>
                <w:lang w:val="ro-RO"/>
              </w:rPr>
              <w:t xml:space="preserve">patru </w:t>
            </w:r>
            <w:r w:rsidRPr="00A955E0">
              <w:rPr>
                <w:i/>
                <w:lang w:val="ro-RO"/>
              </w:rPr>
              <w:t>criterii se pot cumula.</w:t>
            </w:r>
          </w:p>
          <w:p w14:paraId="2131A8A9" w14:textId="42DA970A" w:rsidR="0076713B" w:rsidRPr="00A955E0" w:rsidRDefault="0076713B" w:rsidP="00867B99">
            <w:pPr>
              <w:jc w:val="both"/>
              <w:rPr>
                <w:i/>
                <w:lang w:val="ro-RO"/>
              </w:rPr>
            </w:pPr>
            <w:r w:rsidRPr="00A955E0">
              <w:rPr>
                <w:i/>
                <w:lang w:val="ro-RO"/>
              </w:rPr>
              <w:t>Spre exemplu:</w:t>
            </w:r>
          </w:p>
          <w:p w14:paraId="09201013" w14:textId="309ADB54" w:rsidR="0076713B" w:rsidRPr="00A955E0" w:rsidRDefault="0076713B" w:rsidP="00867B99">
            <w:pPr>
              <w:jc w:val="both"/>
              <w:rPr>
                <w:i/>
                <w:lang w:val="ro-RO"/>
              </w:rPr>
            </w:pPr>
            <w:r w:rsidRPr="00A955E0">
              <w:rPr>
                <w:i/>
                <w:lang w:val="ro-RO"/>
              </w:rPr>
              <w:t>Dacă o cooperativă are 5 membri, din care un membru are exploatația cu dimensiunea economică situată sub 12.000 SO, 3 dintre membrii au exploatațiile cu dimensiuni economice între 12.000 și 50.000 SO (inclusiv), iar cel de-al cincilea membru are exploatația cu dimensiunea economică în intervalul 50.001 – 100.000 Euro SO</w:t>
            </w:r>
            <w:r w:rsidR="00D25C0D">
              <w:rPr>
                <w:i/>
                <w:lang w:val="ro-RO"/>
              </w:rPr>
              <w:t xml:space="preserve"> și </w:t>
            </w:r>
            <w:r w:rsidR="00D25C0D" w:rsidRPr="00D25C0D">
              <w:rPr>
                <w:i/>
                <w:lang w:val="ro-RO"/>
              </w:rPr>
              <w:t>100.001-250.000 euro SO</w:t>
            </w:r>
            <w:r w:rsidRPr="00A955E0">
              <w:rPr>
                <w:i/>
                <w:lang w:val="ro-RO"/>
              </w:rPr>
              <w:t>, calculul punctajului se va stabili, în mod proporțional, după cum urmează:</w:t>
            </w:r>
          </w:p>
          <w:p w14:paraId="02C27B38" w14:textId="433131E8" w:rsidR="0076713B" w:rsidRPr="00A955E0" w:rsidRDefault="0076713B" w:rsidP="00867B99">
            <w:pPr>
              <w:jc w:val="both"/>
              <w:rPr>
                <w:i/>
                <w:lang w:val="ro-RO"/>
              </w:rPr>
            </w:pPr>
            <w:r w:rsidRPr="00A955E0">
              <w:rPr>
                <w:i/>
                <w:lang w:val="ro-RO"/>
              </w:rPr>
              <w:t>1/5*20 puncte +</w:t>
            </w:r>
            <w:r w:rsidR="00D25C0D">
              <w:rPr>
                <w:i/>
                <w:lang w:val="ro-RO"/>
              </w:rPr>
              <w:t>2</w:t>
            </w:r>
            <w:r w:rsidRPr="00A955E0">
              <w:rPr>
                <w:i/>
                <w:lang w:val="ro-RO"/>
              </w:rPr>
              <w:t xml:space="preserve">/5*15 puncte+1/5*10 </w:t>
            </w:r>
            <w:r w:rsidR="00D25C0D">
              <w:rPr>
                <w:i/>
                <w:lang w:val="ro-RO"/>
              </w:rPr>
              <w:t xml:space="preserve">+ 1/5*5 </w:t>
            </w:r>
            <w:r w:rsidRPr="00A955E0">
              <w:rPr>
                <w:i/>
                <w:lang w:val="ro-RO"/>
              </w:rPr>
              <w:t>= 4 puncte+</w:t>
            </w:r>
            <w:r w:rsidR="00D25C0D">
              <w:rPr>
                <w:i/>
                <w:lang w:val="ro-RO"/>
              </w:rPr>
              <w:t>6</w:t>
            </w:r>
            <w:r w:rsidRPr="00A955E0">
              <w:rPr>
                <w:i/>
                <w:lang w:val="ro-RO"/>
              </w:rPr>
              <w:t xml:space="preserve"> puncte +2 puncte</w:t>
            </w:r>
            <w:r w:rsidR="00D25C0D">
              <w:rPr>
                <w:i/>
                <w:lang w:val="ro-RO"/>
              </w:rPr>
              <w:t xml:space="preserve"> + 1 puncte</w:t>
            </w:r>
            <w:r w:rsidRPr="00A955E0">
              <w:rPr>
                <w:i/>
                <w:lang w:val="ro-RO"/>
              </w:rPr>
              <w:t>=</w:t>
            </w:r>
            <w:r w:rsidRPr="00A955E0">
              <w:rPr>
                <w:b/>
                <w:i/>
                <w:lang w:val="ro-RO"/>
              </w:rPr>
              <w:t>1</w:t>
            </w:r>
            <w:r w:rsidR="00D25C0D">
              <w:rPr>
                <w:b/>
                <w:i/>
                <w:lang w:val="ro-RO"/>
              </w:rPr>
              <w:t>3</w:t>
            </w:r>
            <w:r w:rsidRPr="00A955E0">
              <w:rPr>
                <w:b/>
                <w:i/>
                <w:lang w:val="ro-RO"/>
              </w:rPr>
              <w:t xml:space="preserve"> puncte</w:t>
            </w:r>
          </w:p>
          <w:p w14:paraId="79FDC132" w14:textId="77777777" w:rsidR="0076713B" w:rsidRPr="00A955E0" w:rsidRDefault="0076713B" w:rsidP="00867B99">
            <w:pPr>
              <w:jc w:val="both"/>
              <w:rPr>
                <w:lang w:val="ro-RO"/>
              </w:rPr>
            </w:pPr>
            <w:r w:rsidRPr="00A955E0">
              <w:rPr>
                <w:i/>
                <w:lang w:val="ro-RO"/>
              </w:rPr>
              <w:t>Se va avea în vedere dimensiunea exploatațiilor membrilor la momentul depunerii cererii de finanțare. Având în vedere caracterul stimulativ al sprijinului, după contractare, dimensiunile economice ale membrilor grupului de producători, beneficiar de sprijin, pot înregistra creșteri, fără nici o restricție.</w:t>
            </w:r>
          </w:p>
        </w:tc>
      </w:tr>
      <w:tr w:rsidR="0076713B" w:rsidRPr="00A955E0" w14:paraId="141401E8" w14:textId="77777777" w:rsidTr="003D68F2">
        <w:trPr>
          <w:trHeight w:val="407"/>
        </w:trPr>
        <w:tc>
          <w:tcPr>
            <w:tcW w:w="8613" w:type="dxa"/>
            <w:gridSpan w:val="2"/>
            <w:shd w:val="clear" w:color="auto" w:fill="9BBB59"/>
            <w:vAlign w:val="center"/>
          </w:tcPr>
          <w:p w14:paraId="1BEBC2F6" w14:textId="77777777" w:rsidR="0076713B" w:rsidRPr="00A955E0" w:rsidRDefault="0076713B" w:rsidP="00867B99">
            <w:pPr>
              <w:jc w:val="both"/>
              <w:rPr>
                <w:b/>
                <w:lang w:val="ro-RO"/>
              </w:rPr>
            </w:pPr>
            <w:r w:rsidRPr="00A955E0">
              <w:rPr>
                <w:b/>
                <w:lang w:val="ro-RO"/>
              </w:rPr>
              <w:t>TOTAL</w:t>
            </w:r>
          </w:p>
        </w:tc>
        <w:tc>
          <w:tcPr>
            <w:tcW w:w="1276" w:type="dxa"/>
            <w:shd w:val="clear" w:color="auto" w:fill="9BBB59"/>
            <w:vAlign w:val="center"/>
          </w:tcPr>
          <w:p w14:paraId="3EA326CB" w14:textId="1D3ED5B4" w:rsidR="0076713B" w:rsidRPr="00A955E0" w:rsidRDefault="0076713B" w:rsidP="00867B99">
            <w:pPr>
              <w:pStyle w:val="ListParagraph"/>
              <w:numPr>
                <w:ilvl w:val="0"/>
                <w:numId w:val="7"/>
              </w:numPr>
              <w:jc w:val="both"/>
              <w:rPr>
                <w:b/>
                <w:lang w:val="ro-RO"/>
              </w:rPr>
            </w:pPr>
          </w:p>
        </w:tc>
      </w:tr>
    </w:tbl>
    <w:p w14:paraId="493CFAA3" w14:textId="77777777" w:rsidR="005C7D21" w:rsidRDefault="005C7D21" w:rsidP="00857BAF">
      <w:pPr>
        <w:rPr>
          <w:b/>
          <w:i/>
          <w:lang w:val="ro-RO"/>
        </w:rPr>
      </w:pPr>
    </w:p>
    <w:p w14:paraId="498A4FFA" w14:textId="77777777" w:rsidR="00857BAF" w:rsidRDefault="00857BAF" w:rsidP="00857BAF">
      <w:pPr>
        <w:rPr>
          <w:b/>
          <w:i/>
          <w:lang w:val="ro-RO"/>
        </w:rPr>
      </w:pPr>
      <w:r w:rsidRPr="00857BAF">
        <w:rPr>
          <w:b/>
          <w:i/>
          <w:lang w:val="ro-RO"/>
        </w:rPr>
        <w:t xml:space="preserve">Punctaj  minim - 10 puncte </w:t>
      </w:r>
    </w:p>
    <w:p w14:paraId="43682CFC" w14:textId="77777777" w:rsidR="005C7D21" w:rsidRPr="00857BAF" w:rsidRDefault="005C7D21" w:rsidP="00857BAF">
      <w:pPr>
        <w:rPr>
          <w:b/>
          <w:i/>
          <w:lang w:val="ro-RO"/>
        </w:rPr>
      </w:pPr>
      <w:bookmarkStart w:id="0" w:name="_GoBack"/>
      <w:bookmarkEnd w:id="0"/>
    </w:p>
    <w:p w14:paraId="3FD56E66" w14:textId="3A1BC97D" w:rsidR="00857BAF" w:rsidRDefault="0096649F" w:rsidP="00857BAF">
      <w:pPr>
        <w:jc w:val="both"/>
        <w:rPr>
          <w:rFonts w:ascii="Trebuchet MS" w:hAnsi="Trebuchet MS"/>
          <w:b/>
          <w:i/>
          <w:sz w:val="20"/>
          <w:szCs w:val="20"/>
          <w:lang w:val="ro-RO"/>
        </w:rPr>
      </w:pPr>
      <w:r w:rsidRPr="00830765">
        <w:rPr>
          <w:rFonts w:ascii="Trebuchet MS" w:hAnsi="Trebuchet MS"/>
          <w:b/>
          <w:i/>
          <w:sz w:val="20"/>
          <w:szCs w:val="20"/>
          <w:lang w:val="ro-RO"/>
        </w:rPr>
        <w:t>Detaliile cu privire la modalitatea de aplicare a criteriilor de selecție pot suferi modificări la momentul finalizării ghidului solicitantului și procedurilor, în vederea asigurării coerenței și clarității.</w:t>
      </w:r>
    </w:p>
    <w:p w14:paraId="7E6A5303" w14:textId="4FFF8F0D" w:rsidR="00F7459A" w:rsidRDefault="00F7459A" w:rsidP="00857BAF">
      <w:pPr>
        <w:jc w:val="both"/>
        <w:rPr>
          <w:rFonts w:ascii="Trebuchet MS" w:hAnsi="Trebuchet MS"/>
          <w:b/>
          <w:i/>
          <w:sz w:val="20"/>
          <w:szCs w:val="20"/>
          <w:lang w:val="ro-RO"/>
        </w:rPr>
      </w:pPr>
    </w:p>
    <w:p w14:paraId="1A1FD465" w14:textId="77777777" w:rsidR="00F7459A" w:rsidRPr="00857BAF" w:rsidRDefault="00F7459A" w:rsidP="00857BAF">
      <w:pPr>
        <w:jc w:val="both"/>
        <w:rPr>
          <w:rFonts w:ascii="Trebuchet MS" w:hAnsi="Trebuchet MS"/>
          <w:b/>
          <w:i/>
          <w:sz w:val="20"/>
          <w:szCs w:val="20"/>
          <w:lang w:val="ro-RO"/>
        </w:rPr>
      </w:pPr>
    </w:p>
    <w:p w14:paraId="5E99D1AF" w14:textId="462EB198" w:rsidR="00005954" w:rsidRPr="00A955E0" w:rsidRDefault="00005954" w:rsidP="00867B99">
      <w:pPr>
        <w:rPr>
          <w:i/>
          <w:lang w:val="ro-RO"/>
        </w:rPr>
      </w:pPr>
    </w:p>
    <w:sectPr w:rsidR="00005954" w:rsidRPr="00A955E0" w:rsidSect="00857BAF">
      <w:headerReference w:type="default" r:id="rId9"/>
      <w:pgSz w:w="12240" w:h="15840"/>
      <w:pgMar w:top="1890" w:right="1440" w:bottom="117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C69AC4" w14:textId="77777777" w:rsidR="00E6652D" w:rsidRDefault="00E6652D" w:rsidP="0076713B">
      <w:pPr>
        <w:spacing w:after="0" w:line="240" w:lineRule="auto"/>
      </w:pPr>
      <w:r>
        <w:separator/>
      </w:r>
    </w:p>
  </w:endnote>
  <w:endnote w:type="continuationSeparator" w:id="0">
    <w:p w14:paraId="2D44F6AC" w14:textId="77777777" w:rsidR="00E6652D" w:rsidRDefault="00E6652D" w:rsidP="007671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7F3B1A" w14:textId="77777777" w:rsidR="00E6652D" w:rsidRDefault="00E6652D" w:rsidP="0076713B">
      <w:pPr>
        <w:spacing w:after="0" w:line="240" w:lineRule="auto"/>
      </w:pPr>
      <w:r>
        <w:separator/>
      </w:r>
    </w:p>
  </w:footnote>
  <w:footnote w:type="continuationSeparator" w:id="0">
    <w:p w14:paraId="254F56F9" w14:textId="77777777" w:rsidR="00E6652D" w:rsidRDefault="00E6652D" w:rsidP="0076713B">
      <w:pPr>
        <w:spacing w:after="0" w:line="240" w:lineRule="auto"/>
      </w:pPr>
      <w:r>
        <w:continuationSeparator/>
      </w:r>
    </w:p>
  </w:footnote>
  <w:footnote w:id="1">
    <w:p w14:paraId="08486464" w14:textId="77777777" w:rsidR="0076713B" w:rsidRPr="00B90920" w:rsidRDefault="0076713B" w:rsidP="0076713B">
      <w:pPr>
        <w:pStyle w:val="FootnoteText"/>
        <w:jc w:val="both"/>
        <w:rPr>
          <w:rFonts w:ascii="Calibri" w:hAnsi="Calibri"/>
          <w:i/>
        </w:rPr>
      </w:pPr>
      <w:r>
        <w:rPr>
          <w:rStyle w:val="FootnoteReference"/>
        </w:rPr>
        <w:footnoteRef/>
      </w:r>
      <w:r>
        <w:t xml:space="preserve"> </w:t>
      </w:r>
      <w:r w:rsidRPr="00B90920">
        <w:rPr>
          <w:rFonts w:ascii="Calibri" w:hAnsi="Calibri"/>
        </w:rPr>
        <w:t>Conform ORDINULUI nr. 52 din 3 martie 2017 privind aprobarea Procedurii de verificare a conformităţii datelor cuprinse în caietul de sarcini în vederea acordării dreptului de utilizare a menţiunii de calitate facultative "produs montan" şi de verificare a respectării legislaţiei europene şi naţionale de către operatorii economici care au obţinut dreptul de utilizare a respectivei menţiuni.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9D40C1" w14:textId="77777777" w:rsidR="00541D94" w:rsidRDefault="00541D94">
    <w:pPr>
      <w:pStyle w:val="Header"/>
      <w:rPr>
        <w:b/>
        <w:lang w:val="ro-RO"/>
      </w:rPr>
    </w:pPr>
  </w:p>
  <w:p w14:paraId="3EC427D2" w14:textId="77777777" w:rsidR="00541D94" w:rsidRDefault="00541D94">
    <w:pPr>
      <w:pStyle w:val="Header"/>
      <w:rPr>
        <w:b/>
        <w:lang w:val="ro-RO"/>
      </w:rPr>
    </w:pPr>
  </w:p>
  <w:p w14:paraId="67EA0999" w14:textId="577CB7A4" w:rsidR="00541D94" w:rsidRPr="00541D94" w:rsidRDefault="00541D94">
    <w:pPr>
      <w:pStyle w:val="Header"/>
      <w:rPr>
        <w:b/>
        <w:lang w:val="ro-RO"/>
      </w:rPr>
    </w:pPr>
    <w:r>
      <w:rPr>
        <w:b/>
        <w:lang w:val="ro-RO"/>
      </w:rPr>
      <w:t xml:space="preserve">      </w:t>
    </w:r>
    <w:r w:rsidRPr="00541D94">
      <w:rPr>
        <w:b/>
        <w:lang w:val="ro-RO"/>
      </w:rPr>
      <w:t xml:space="preserve">PRINCIPII ȘI CRITERII DE SELECȚIE sM 9.1 </w:t>
    </w:r>
    <w:r w:rsidRPr="00541D94">
      <w:rPr>
        <w:b/>
        <w:i/>
        <w:lang w:val="ro-RO"/>
      </w:rPr>
      <w:t>”Înființarea grupurilor de producători în sectorul agricol”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9821DD"/>
    <w:multiLevelType w:val="hybridMultilevel"/>
    <w:tmpl w:val="2B70F026"/>
    <w:lvl w:ilvl="0" w:tplc="8AA6668A">
      <w:start w:val="10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9DA3256"/>
    <w:multiLevelType w:val="hybridMultilevel"/>
    <w:tmpl w:val="573A9D0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2795013"/>
    <w:multiLevelType w:val="hybridMultilevel"/>
    <w:tmpl w:val="EB386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4882E6E"/>
    <w:multiLevelType w:val="hybridMultilevel"/>
    <w:tmpl w:val="D234BC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6332690"/>
    <w:multiLevelType w:val="hybridMultilevel"/>
    <w:tmpl w:val="12CA4CBA"/>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7506257E"/>
    <w:multiLevelType w:val="hybridMultilevel"/>
    <w:tmpl w:val="FF983958"/>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7D142E6C"/>
    <w:multiLevelType w:val="hybridMultilevel"/>
    <w:tmpl w:val="5D444FFE"/>
    <w:lvl w:ilvl="0" w:tplc="2F681268">
      <w:start w:val="1"/>
      <w:numFmt w:val="bullet"/>
      <w:lvlText w:val=" "/>
      <w:lvlJc w:val="left"/>
      <w:pPr>
        <w:tabs>
          <w:tab w:val="num" w:pos="720"/>
        </w:tabs>
        <w:ind w:left="720" w:hanging="360"/>
      </w:pPr>
      <w:rPr>
        <w:rFonts w:ascii="Calibri" w:hAnsi="Calibri" w:hint="default"/>
      </w:rPr>
    </w:lvl>
    <w:lvl w:ilvl="1" w:tplc="A04E5CB4" w:tentative="1">
      <w:start w:val="1"/>
      <w:numFmt w:val="bullet"/>
      <w:lvlText w:val=" "/>
      <w:lvlJc w:val="left"/>
      <w:pPr>
        <w:tabs>
          <w:tab w:val="num" w:pos="1440"/>
        </w:tabs>
        <w:ind w:left="1440" w:hanging="360"/>
      </w:pPr>
      <w:rPr>
        <w:rFonts w:ascii="Calibri" w:hAnsi="Calibri" w:hint="default"/>
      </w:rPr>
    </w:lvl>
    <w:lvl w:ilvl="2" w:tplc="EF2CFA76" w:tentative="1">
      <w:start w:val="1"/>
      <w:numFmt w:val="bullet"/>
      <w:lvlText w:val=" "/>
      <w:lvlJc w:val="left"/>
      <w:pPr>
        <w:tabs>
          <w:tab w:val="num" w:pos="2160"/>
        </w:tabs>
        <w:ind w:left="2160" w:hanging="360"/>
      </w:pPr>
      <w:rPr>
        <w:rFonts w:ascii="Calibri" w:hAnsi="Calibri" w:hint="default"/>
      </w:rPr>
    </w:lvl>
    <w:lvl w:ilvl="3" w:tplc="27787556" w:tentative="1">
      <w:start w:val="1"/>
      <w:numFmt w:val="bullet"/>
      <w:lvlText w:val=" "/>
      <w:lvlJc w:val="left"/>
      <w:pPr>
        <w:tabs>
          <w:tab w:val="num" w:pos="2880"/>
        </w:tabs>
        <w:ind w:left="2880" w:hanging="360"/>
      </w:pPr>
      <w:rPr>
        <w:rFonts w:ascii="Calibri" w:hAnsi="Calibri" w:hint="default"/>
      </w:rPr>
    </w:lvl>
    <w:lvl w:ilvl="4" w:tplc="F86866E0" w:tentative="1">
      <w:start w:val="1"/>
      <w:numFmt w:val="bullet"/>
      <w:lvlText w:val=" "/>
      <w:lvlJc w:val="left"/>
      <w:pPr>
        <w:tabs>
          <w:tab w:val="num" w:pos="3600"/>
        </w:tabs>
        <w:ind w:left="3600" w:hanging="360"/>
      </w:pPr>
      <w:rPr>
        <w:rFonts w:ascii="Calibri" w:hAnsi="Calibri" w:hint="default"/>
      </w:rPr>
    </w:lvl>
    <w:lvl w:ilvl="5" w:tplc="39C8FE16" w:tentative="1">
      <w:start w:val="1"/>
      <w:numFmt w:val="bullet"/>
      <w:lvlText w:val=" "/>
      <w:lvlJc w:val="left"/>
      <w:pPr>
        <w:tabs>
          <w:tab w:val="num" w:pos="4320"/>
        </w:tabs>
        <w:ind w:left="4320" w:hanging="360"/>
      </w:pPr>
      <w:rPr>
        <w:rFonts w:ascii="Calibri" w:hAnsi="Calibri" w:hint="default"/>
      </w:rPr>
    </w:lvl>
    <w:lvl w:ilvl="6" w:tplc="256E5F34" w:tentative="1">
      <w:start w:val="1"/>
      <w:numFmt w:val="bullet"/>
      <w:lvlText w:val=" "/>
      <w:lvlJc w:val="left"/>
      <w:pPr>
        <w:tabs>
          <w:tab w:val="num" w:pos="5040"/>
        </w:tabs>
        <w:ind w:left="5040" w:hanging="360"/>
      </w:pPr>
      <w:rPr>
        <w:rFonts w:ascii="Calibri" w:hAnsi="Calibri" w:hint="default"/>
      </w:rPr>
    </w:lvl>
    <w:lvl w:ilvl="7" w:tplc="C0EA5628" w:tentative="1">
      <w:start w:val="1"/>
      <w:numFmt w:val="bullet"/>
      <w:lvlText w:val=" "/>
      <w:lvlJc w:val="left"/>
      <w:pPr>
        <w:tabs>
          <w:tab w:val="num" w:pos="5760"/>
        </w:tabs>
        <w:ind w:left="5760" w:hanging="360"/>
      </w:pPr>
      <w:rPr>
        <w:rFonts w:ascii="Calibri" w:hAnsi="Calibri" w:hint="default"/>
      </w:rPr>
    </w:lvl>
    <w:lvl w:ilvl="8" w:tplc="A45A9D00" w:tentative="1">
      <w:start w:val="1"/>
      <w:numFmt w:val="bullet"/>
      <w:lvlText w:val=" "/>
      <w:lvlJc w:val="left"/>
      <w:pPr>
        <w:tabs>
          <w:tab w:val="num" w:pos="6480"/>
        </w:tabs>
        <w:ind w:left="6480" w:hanging="360"/>
      </w:pPr>
      <w:rPr>
        <w:rFonts w:ascii="Calibri" w:hAnsi="Calibri" w:hint="default"/>
      </w:rPr>
    </w:lvl>
  </w:abstractNum>
  <w:num w:numId="1">
    <w:abstractNumId w:val="5"/>
  </w:num>
  <w:num w:numId="2">
    <w:abstractNumId w:val="4"/>
  </w:num>
  <w:num w:numId="3">
    <w:abstractNumId w:val="1"/>
  </w:num>
  <w:num w:numId="4">
    <w:abstractNumId w:val="2"/>
  </w:num>
  <w:num w:numId="5">
    <w:abstractNumId w:val="3"/>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DA3"/>
    <w:rsid w:val="00005954"/>
    <w:rsid w:val="00027686"/>
    <w:rsid w:val="00072D32"/>
    <w:rsid w:val="00080691"/>
    <w:rsid w:val="001259A5"/>
    <w:rsid w:val="00136FC5"/>
    <w:rsid w:val="00157D6B"/>
    <w:rsid w:val="00193F87"/>
    <w:rsid w:val="001A4C21"/>
    <w:rsid w:val="001E5745"/>
    <w:rsid w:val="001F3A63"/>
    <w:rsid w:val="00207B08"/>
    <w:rsid w:val="00212081"/>
    <w:rsid w:val="00213D92"/>
    <w:rsid w:val="0027049C"/>
    <w:rsid w:val="002A00C4"/>
    <w:rsid w:val="00320EB9"/>
    <w:rsid w:val="003469D5"/>
    <w:rsid w:val="003D68F2"/>
    <w:rsid w:val="003F3EF5"/>
    <w:rsid w:val="004F2A21"/>
    <w:rsid w:val="005102D1"/>
    <w:rsid w:val="00511A15"/>
    <w:rsid w:val="00513657"/>
    <w:rsid w:val="00541D94"/>
    <w:rsid w:val="005C5599"/>
    <w:rsid w:val="005C7D21"/>
    <w:rsid w:val="00643616"/>
    <w:rsid w:val="0064517F"/>
    <w:rsid w:val="006F6CA4"/>
    <w:rsid w:val="00724C24"/>
    <w:rsid w:val="007327DB"/>
    <w:rsid w:val="00733DD9"/>
    <w:rsid w:val="0076713B"/>
    <w:rsid w:val="00771EAD"/>
    <w:rsid w:val="007A6097"/>
    <w:rsid w:val="00824796"/>
    <w:rsid w:val="00830765"/>
    <w:rsid w:val="00857BAF"/>
    <w:rsid w:val="00867B99"/>
    <w:rsid w:val="008768E9"/>
    <w:rsid w:val="008B2F2E"/>
    <w:rsid w:val="008E719F"/>
    <w:rsid w:val="0096649F"/>
    <w:rsid w:val="00A21FE1"/>
    <w:rsid w:val="00A60277"/>
    <w:rsid w:val="00A955E0"/>
    <w:rsid w:val="00AE51CC"/>
    <w:rsid w:val="00C83E69"/>
    <w:rsid w:val="00CB18BE"/>
    <w:rsid w:val="00D0545E"/>
    <w:rsid w:val="00D25C0D"/>
    <w:rsid w:val="00D52C25"/>
    <w:rsid w:val="00D846B5"/>
    <w:rsid w:val="00DE2491"/>
    <w:rsid w:val="00E226A2"/>
    <w:rsid w:val="00E36B9A"/>
    <w:rsid w:val="00E6652D"/>
    <w:rsid w:val="00E8635D"/>
    <w:rsid w:val="00EB7E60"/>
    <w:rsid w:val="00EC22D9"/>
    <w:rsid w:val="00EC497A"/>
    <w:rsid w:val="00F663F1"/>
    <w:rsid w:val="00F71DA3"/>
    <w:rsid w:val="00F745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A1CF10"/>
  <w15:chartTrackingRefBased/>
  <w15:docId w15:val="{42E51353-D03B-4B0C-8CCA-31E72171A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w:basedOn w:val="Normal"/>
    <w:link w:val="FootnoteTextChar"/>
    <w:semiHidden/>
    <w:rsid w:val="0076713B"/>
    <w:pPr>
      <w:spacing w:after="0" w:line="240" w:lineRule="auto"/>
    </w:pPr>
    <w:rPr>
      <w:rFonts w:ascii="Arial" w:eastAsia="Times New Roman" w:hAnsi="Arial" w:cs="Times New Roman"/>
      <w:sz w:val="20"/>
      <w:szCs w:val="20"/>
      <w:lang w:val="ro-RO" w:eastAsia="x-none"/>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semiHidden/>
    <w:rsid w:val="0076713B"/>
    <w:rPr>
      <w:rFonts w:ascii="Arial" w:eastAsia="Times New Roman" w:hAnsi="Arial" w:cs="Times New Roman"/>
      <w:sz w:val="20"/>
      <w:szCs w:val="20"/>
      <w:lang w:val="ro-RO" w:eastAsia="x-none"/>
    </w:rPr>
  </w:style>
  <w:style w:type="character" w:styleId="FootnoteReference">
    <w:name w:val="footnote reference"/>
    <w:semiHidden/>
    <w:rsid w:val="0076713B"/>
    <w:rPr>
      <w:vertAlign w:val="superscript"/>
    </w:rPr>
  </w:style>
  <w:style w:type="character" w:styleId="CommentReference">
    <w:name w:val="annotation reference"/>
    <w:uiPriority w:val="99"/>
    <w:rsid w:val="0076713B"/>
    <w:rPr>
      <w:sz w:val="16"/>
      <w:szCs w:val="16"/>
    </w:rPr>
  </w:style>
  <w:style w:type="paragraph" w:styleId="CommentText">
    <w:name w:val="annotation text"/>
    <w:basedOn w:val="Normal"/>
    <w:link w:val="CommentTextChar"/>
    <w:uiPriority w:val="99"/>
    <w:rsid w:val="0076713B"/>
    <w:pPr>
      <w:spacing w:after="0" w:line="240" w:lineRule="auto"/>
    </w:pPr>
    <w:rPr>
      <w:rFonts w:ascii="Arial" w:eastAsia="Times New Roman" w:hAnsi="Arial" w:cs="Times New Roman"/>
      <w:sz w:val="20"/>
      <w:szCs w:val="20"/>
      <w:lang w:val="x-none"/>
    </w:rPr>
  </w:style>
  <w:style w:type="character" w:customStyle="1" w:styleId="CommentTextChar">
    <w:name w:val="Comment Text Char"/>
    <w:basedOn w:val="DefaultParagraphFont"/>
    <w:link w:val="CommentText"/>
    <w:uiPriority w:val="99"/>
    <w:rsid w:val="0076713B"/>
    <w:rPr>
      <w:rFonts w:ascii="Arial" w:eastAsia="Times New Roman" w:hAnsi="Arial" w:cs="Times New Roman"/>
      <w:sz w:val="20"/>
      <w:szCs w:val="20"/>
      <w:lang w:val="x-none"/>
    </w:rPr>
  </w:style>
  <w:style w:type="character" w:styleId="Hyperlink">
    <w:name w:val="Hyperlink"/>
    <w:basedOn w:val="DefaultParagraphFont"/>
    <w:uiPriority w:val="99"/>
    <w:unhideWhenUsed/>
    <w:rsid w:val="0076713B"/>
    <w:rPr>
      <w:color w:val="0563C1" w:themeColor="hyperlink"/>
      <w:u w:val="single"/>
    </w:rPr>
  </w:style>
  <w:style w:type="paragraph" w:styleId="BalloonText">
    <w:name w:val="Balloon Text"/>
    <w:basedOn w:val="Normal"/>
    <w:link w:val="BalloonTextChar"/>
    <w:uiPriority w:val="99"/>
    <w:semiHidden/>
    <w:unhideWhenUsed/>
    <w:rsid w:val="0076713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713B"/>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76713B"/>
    <w:pPr>
      <w:spacing w:after="160"/>
    </w:pPr>
    <w:rPr>
      <w:rFonts w:asciiTheme="minorHAnsi" w:eastAsiaTheme="minorHAnsi" w:hAnsiTheme="minorHAnsi" w:cstheme="minorBidi"/>
      <w:b/>
      <w:bCs/>
      <w:lang w:val="en-US"/>
    </w:rPr>
  </w:style>
  <w:style w:type="character" w:customStyle="1" w:styleId="CommentSubjectChar">
    <w:name w:val="Comment Subject Char"/>
    <w:basedOn w:val="CommentTextChar"/>
    <w:link w:val="CommentSubject"/>
    <w:uiPriority w:val="99"/>
    <w:semiHidden/>
    <w:rsid w:val="0076713B"/>
    <w:rPr>
      <w:rFonts w:ascii="Arial" w:eastAsia="Times New Roman" w:hAnsi="Arial" w:cs="Times New Roman"/>
      <w:b/>
      <w:bCs/>
      <w:sz w:val="20"/>
      <w:szCs w:val="20"/>
      <w:lang w:val="x-none"/>
    </w:rPr>
  </w:style>
  <w:style w:type="paragraph" w:styleId="ListParagraph">
    <w:name w:val="List Paragraph"/>
    <w:basedOn w:val="Normal"/>
    <w:uiPriority w:val="34"/>
    <w:qFormat/>
    <w:rsid w:val="0076713B"/>
    <w:pPr>
      <w:ind w:left="720"/>
      <w:contextualSpacing/>
    </w:pPr>
  </w:style>
  <w:style w:type="paragraph" w:styleId="Header">
    <w:name w:val="header"/>
    <w:basedOn w:val="Normal"/>
    <w:link w:val="HeaderChar"/>
    <w:uiPriority w:val="99"/>
    <w:unhideWhenUsed/>
    <w:rsid w:val="00D0545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545E"/>
  </w:style>
  <w:style w:type="paragraph" w:styleId="Footer">
    <w:name w:val="footer"/>
    <w:basedOn w:val="Normal"/>
    <w:link w:val="FooterChar"/>
    <w:uiPriority w:val="99"/>
    <w:unhideWhenUsed/>
    <w:rsid w:val="00D0545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54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8302434">
      <w:bodyDiv w:val="1"/>
      <w:marLeft w:val="0"/>
      <w:marRight w:val="0"/>
      <w:marTop w:val="0"/>
      <w:marBottom w:val="0"/>
      <w:divBdr>
        <w:top w:val="none" w:sz="0" w:space="0" w:color="auto"/>
        <w:left w:val="none" w:sz="0" w:space="0" w:color="auto"/>
        <w:bottom w:val="none" w:sz="0" w:space="0" w:color="auto"/>
        <w:right w:val="none" w:sz="0" w:space="0" w:color="auto"/>
      </w:divBdr>
    </w:div>
    <w:div w:id="1182016571">
      <w:bodyDiv w:val="1"/>
      <w:marLeft w:val="0"/>
      <w:marRight w:val="0"/>
      <w:marTop w:val="0"/>
      <w:marBottom w:val="0"/>
      <w:divBdr>
        <w:top w:val="none" w:sz="0" w:space="0" w:color="auto"/>
        <w:left w:val="none" w:sz="0" w:space="0" w:color="auto"/>
        <w:bottom w:val="none" w:sz="0" w:space="0" w:color="auto"/>
        <w:right w:val="none" w:sz="0" w:space="0" w:color="auto"/>
      </w:divBdr>
      <w:divsChild>
        <w:div w:id="390345990">
          <w:marLeft w:val="144"/>
          <w:marRight w:val="0"/>
          <w:marTop w:val="240"/>
          <w:marBottom w:val="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dr.ro/ro/culturi-de-camp/plante-tehnice/sfecla-de-zahar.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3BA4D5-A458-437F-97B0-1C50999B00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1725</Words>
  <Characters>9834</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Margareta Purcarea</dc:creator>
  <cp:keywords/>
  <dc:description/>
  <cp:lastModifiedBy>Alina Constantin</cp:lastModifiedBy>
  <cp:revision>6</cp:revision>
  <cp:lastPrinted>2021-07-12T10:56:00Z</cp:lastPrinted>
  <dcterms:created xsi:type="dcterms:W3CDTF">2021-07-08T13:19:00Z</dcterms:created>
  <dcterms:modified xsi:type="dcterms:W3CDTF">2021-07-13T11:48:00Z</dcterms:modified>
</cp:coreProperties>
</file>